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6969FF" w:rsidRPr="006969FF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 w:rsidR="00A77197">
              <w:rPr>
                <w:rFonts w:eastAsia="Times New Roman"/>
                <w:bCs/>
                <w:iCs/>
                <w:szCs w:val="26"/>
                <w:lang w:eastAsia="ru-RU"/>
              </w:rPr>
              <w:t>о</w:t>
            </w:r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 хімії та технології органічних речовин</w:t>
            </w:r>
          </w:p>
          <w:p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:rsidTr="00D525C0">
        <w:trPr>
          <w:trHeight w:val="628"/>
        </w:trPr>
        <w:tc>
          <w:tcPr>
            <w:tcW w:w="10206" w:type="dxa"/>
            <w:gridSpan w:val="3"/>
          </w:tcPr>
          <w:p w:rsidR="007E3190" w:rsidRPr="00F273D8" w:rsidRDefault="003A7D5A" w:rsidP="00D525C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Основи сучасної хімії азотовмісних циклічних органічних сполук</w:t>
            </w:r>
          </w:p>
          <w:p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(Силабус)</w:t>
            </w:r>
          </w:p>
        </w:tc>
      </w:tr>
    </w:tbl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/>
      </w:tblPr>
      <w:tblGrid>
        <w:gridCol w:w="2694"/>
        <w:gridCol w:w="7512"/>
      </w:tblGrid>
      <w:tr w:rsidR="006969FF" w:rsidRPr="006969FF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6969FF" w:rsidRDefault="004A6336" w:rsidP="003D573E">
            <w:pPr>
              <w:spacing w:before="20" w:after="20" w:line="240" w:lineRule="auto"/>
              <w:cnfStyle w:val="1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Другий (магістерський)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4A6336" w:rsidRPr="002331D3" w:rsidRDefault="002331D3" w:rsidP="003D573E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</w:rPr>
            </w:pPr>
            <w:r w:rsidRPr="002331D3">
              <w:rPr>
                <w:rFonts w:asciiTheme="minorHAnsi" w:hAnsiTheme="minorHAnsi"/>
                <w:i/>
                <w:sz w:val="22"/>
                <w:szCs w:val="22"/>
              </w:rPr>
              <w:t>16 Хімічна та біоінженерія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4A6336" w:rsidRPr="002331D3" w:rsidRDefault="002331D3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2331D3">
              <w:rPr>
                <w:rFonts w:asciiTheme="minorHAnsi" w:hAnsiTheme="minorHAnsi"/>
                <w:i/>
                <w:sz w:val="22"/>
                <w:szCs w:val="22"/>
              </w:rPr>
              <w:t>161 Хімічні технології та інженерія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2331D3" w:rsidRDefault="002331D3" w:rsidP="003D573E">
            <w:pPr>
              <w:spacing w:line="240" w:lineRule="auto"/>
              <w:cnfStyle w:val="000000100000"/>
              <w:rPr>
                <w:rFonts w:eastAsia="Times New Roman"/>
                <w:caps/>
                <w:sz w:val="26"/>
                <w:szCs w:val="26"/>
                <w:lang w:eastAsia="ru-RU"/>
              </w:rPr>
            </w:pPr>
            <w:r w:rsidRPr="002331D3">
              <w:rPr>
                <w:rStyle w:val="xfm22358885"/>
                <w:i/>
                <w:iCs/>
                <w:sz w:val="26"/>
                <w:szCs w:val="26"/>
              </w:rPr>
              <w:t xml:space="preserve">Для освітньої програми </w:t>
            </w:r>
            <w:r w:rsidR="005F4807" w:rsidRPr="005F4807">
              <w:rPr>
                <w:rStyle w:val="xfm22358885"/>
                <w:i/>
                <w:iCs/>
                <w:sz w:val="26"/>
                <w:szCs w:val="26"/>
              </w:rPr>
              <w:t xml:space="preserve"> Хімія і технологія органічних матеріалів</w:t>
            </w:r>
            <w:r w:rsidR="005F4807">
              <w:rPr>
                <w:rStyle w:val="xfm22358885"/>
                <w:i/>
                <w:iCs/>
                <w:sz w:val="26"/>
                <w:szCs w:val="26"/>
              </w:rPr>
              <w:t xml:space="preserve"> </w:t>
            </w:r>
            <w:r w:rsidRPr="002331D3">
              <w:rPr>
                <w:rStyle w:val="xfm22358885"/>
                <w:i/>
                <w:iCs/>
                <w:sz w:val="26"/>
                <w:szCs w:val="26"/>
              </w:rPr>
              <w:t>спеціальності 161 Хімічні технології та інженерія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:rsidR="004A6336" w:rsidRPr="006969FF" w:rsidRDefault="002331D3" w:rsidP="007244E1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Вибіркова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6969FF" w:rsidRDefault="00894491" w:rsidP="00FA451B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94491" w:rsidRPr="006969FF" w:rsidRDefault="00306C33" w:rsidP="00FA451B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244E1" w:rsidRPr="006969FF" w:rsidRDefault="007244E1" w:rsidP="00DC7337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6969FF" w:rsidRDefault="003D573E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  <w:lang w:val="en-US"/>
              </w:rPr>
              <w:t>5</w:t>
            </w:r>
            <w:r w:rsidR="007244E1" w:rsidRPr="006969FF">
              <w:rPr>
                <w:i/>
                <w:sz w:val="26"/>
                <w:szCs w:val="26"/>
              </w:rPr>
              <w:t xml:space="preserve"> курс, </w:t>
            </w:r>
            <w:r w:rsidR="00F273D8">
              <w:rPr>
                <w:i/>
                <w:sz w:val="26"/>
                <w:szCs w:val="26"/>
              </w:rPr>
              <w:t xml:space="preserve">другий </w:t>
            </w:r>
            <w:r w:rsidR="007244E1" w:rsidRPr="006969FF">
              <w:rPr>
                <w:i/>
                <w:sz w:val="26"/>
                <w:szCs w:val="26"/>
              </w:rPr>
              <w:t>семестр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C613F3" w:rsidRDefault="006A2E1D" w:rsidP="006757B0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8</w:t>
            </w:r>
            <w:r w:rsidR="002331D3"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 кредитів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244E1" w:rsidRPr="006969FF" w:rsidRDefault="007244E1" w:rsidP="00D233F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C163AF" w:rsidRDefault="00C163AF" w:rsidP="00D233F9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екзамен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4A6336" w:rsidRPr="00C613F3" w:rsidRDefault="00C613F3" w:rsidP="00C613F3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  <w:lang w:val="ru-RU"/>
              </w:rPr>
            </w:pP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 xml:space="preserve">Лекція 2 години на тиждень (1 пара), </w:t>
            </w:r>
            <w:r w:rsidR="006A2E1D">
              <w:rPr>
                <w:rFonts w:asciiTheme="minorHAnsi" w:hAnsiTheme="minorHAnsi"/>
                <w:i/>
                <w:sz w:val="22"/>
                <w:szCs w:val="22"/>
              </w:rPr>
              <w:t xml:space="preserve">практичні заняття 2 години на 2 тижня (1 пара), </w:t>
            </w:r>
            <w:r w:rsidRPr="00C613F3">
              <w:rPr>
                <w:rFonts w:asciiTheme="minorHAnsi" w:hAnsiTheme="minorHAnsi"/>
                <w:i/>
                <w:sz w:val="22"/>
                <w:szCs w:val="22"/>
              </w:rPr>
              <w:t>лабораторні заняття 2 години на тиждень (1 пара) за розкладом на rozklad.kpi.ua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6969FF" w:rsidRDefault="00306C33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:rsidR="003D573E" w:rsidRPr="00F273D8" w:rsidRDefault="00D82DA7" w:rsidP="003D573E">
            <w:pPr>
              <w:spacing w:line="240" w:lineRule="auto"/>
              <w:cnfStyle w:val="000000100000"/>
              <w:rPr>
                <w:rFonts w:eastAsia="Times New Roman"/>
                <w:sz w:val="26"/>
                <w:szCs w:val="26"/>
                <w:lang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F273D8">
              <w:rPr>
                <w:rFonts w:eastAsia="Times New Roman"/>
                <w:sz w:val="26"/>
                <w:szCs w:val="26"/>
                <w:lang w:eastAsia="ru-RU"/>
              </w:rPr>
              <w:t>доц</w:t>
            </w:r>
            <w:r w:rsidR="003D573E" w:rsidRPr="006969FF">
              <w:rPr>
                <w:rFonts w:eastAsia="Times New Roman"/>
                <w:sz w:val="26"/>
                <w:szCs w:val="26"/>
                <w:lang w:eastAsia="ru-RU"/>
              </w:rPr>
              <w:t xml:space="preserve">. каф. ОХ та ТОР, доктор хімічних наук, </w:t>
            </w:r>
            <w:r w:rsidR="00F273D8">
              <w:rPr>
                <w:rFonts w:eastAsia="Times New Roman"/>
                <w:sz w:val="26"/>
                <w:szCs w:val="26"/>
                <w:lang w:eastAsia="ru-RU"/>
              </w:rPr>
              <w:t>с.н.с.</w:t>
            </w:r>
            <w:r w:rsidR="004B13AA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F273D8">
              <w:rPr>
                <w:rFonts w:eastAsia="Times New Roman"/>
                <w:sz w:val="26"/>
                <w:szCs w:val="26"/>
                <w:lang w:eastAsia="ru-RU"/>
              </w:rPr>
              <w:t>Рассукана Юлія Вікторівна</w:t>
            </w:r>
            <w:r w:rsidR="003D573E" w:rsidRPr="00F273D8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233A69">
              <w:rPr>
                <w:rFonts w:eastAsia="Times New Roman"/>
                <w:sz w:val="26"/>
                <w:szCs w:val="26"/>
                <w:lang w:eastAsia="ru-RU"/>
              </w:rPr>
              <w:t>juvivi</w:t>
            </w:r>
            <w:r w:rsidR="003D573E" w:rsidRPr="00233A69">
              <w:rPr>
                <w:rFonts w:eastAsia="Times New Roman"/>
                <w:sz w:val="26"/>
                <w:szCs w:val="26"/>
                <w:lang w:eastAsia="ru-RU"/>
              </w:rPr>
              <w:t>@</w:t>
            </w:r>
            <w:r w:rsidR="00233A69">
              <w:rPr>
                <w:rFonts w:eastAsia="Times New Roman"/>
                <w:sz w:val="26"/>
                <w:szCs w:val="26"/>
                <w:lang w:val="en-US" w:eastAsia="ru-RU"/>
              </w:rPr>
              <w:t>ukr</w:t>
            </w:r>
            <w:r w:rsidR="00233A69" w:rsidRPr="00233A69"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  <w:r w:rsidR="00233A69">
              <w:rPr>
                <w:rFonts w:eastAsia="Times New Roman"/>
                <w:sz w:val="26"/>
                <w:szCs w:val="26"/>
                <w:lang w:val="en-US" w:eastAsia="ru-RU"/>
              </w:rPr>
              <w:t>net</w:t>
            </w:r>
          </w:p>
          <w:p w:rsidR="004A6336" w:rsidRPr="00F273D8" w:rsidRDefault="00F273D8" w:rsidP="006A2E1D">
            <w:pPr>
              <w:spacing w:before="20" w:after="20" w:line="240" w:lineRule="auto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</w:t>
            </w:r>
            <w:r w:rsidR="004A6336" w:rsidRPr="006969FF">
              <w:rPr>
                <w:sz w:val="26"/>
                <w:szCs w:val="26"/>
              </w:rPr>
              <w:t>ні</w:t>
            </w:r>
            <w:r w:rsidR="00C163AF" w:rsidRPr="006969FF">
              <w:rPr>
                <w:sz w:val="26"/>
                <w:szCs w:val="26"/>
              </w:rPr>
              <w:t>:</w:t>
            </w:r>
            <w:r w:rsidR="004A6336" w:rsidRPr="006969FF">
              <w:rPr>
                <w:sz w:val="26"/>
                <w:szCs w:val="26"/>
              </w:rPr>
              <w:t xml:space="preserve"> </w:t>
            </w:r>
            <w:r w:rsidR="00C613F3">
              <w:rPr>
                <w:sz w:val="26"/>
                <w:szCs w:val="26"/>
              </w:rPr>
              <w:t xml:space="preserve">к.х.н., </w:t>
            </w:r>
            <w:r w:rsidR="006A2E1D">
              <w:rPr>
                <w:sz w:val="26"/>
                <w:szCs w:val="26"/>
              </w:rPr>
              <w:t>ст</w:t>
            </w:r>
            <w:r w:rsidR="00233A69" w:rsidRPr="00233A69">
              <w:rPr>
                <w:sz w:val="26"/>
                <w:szCs w:val="26"/>
              </w:rPr>
              <w:t>.</w:t>
            </w:r>
            <w:r w:rsidR="006A2E1D">
              <w:rPr>
                <w:sz w:val="26"/>
                <w:szCs w:val="26"/>
              </w:rPr>
              <w:t xml:space="preserve"> вик.</w:t>
            </w:r>
            <w:r w:rsidR="006969FF" w:rsidRPr="00233A69">
              <w:rPr>
                <w:sz w:val="26"/>
                <w:szCs w:val="26"/>
              </w:rPr>
              <w:t xml:space="preserve"> </w:t>
            </w:r>
            <w:r w:rsidR="006A2E1D">
              <w:rPr>
                <w:sz w:val="26"/>
                <w:szCs w:val="26"/>
              </w:rPr>
              <w:t>Кушко Андрій Олегович</w:t>
            </w:r>
            <w:r w:rsidR="00C613F3">
              <w:rPr>
                <w:sz w:val="26"/>
                <w:szCs w:val="26"/>
              </w:rPr>
              <w:t xml:space="preserve">, </w:t>
            </w:r>
            <w:r w:rsidR="006A2E1D" w:rsidRPr="006A2E1D">
              <w:rPr>
                <w:iCs/>
                <w:sz w:val="26"/>
                <w:szCs w:val="26"/>
              </w:rPr>
              <w:t>andrey_kushko@ukr.net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6969FF" w:rsidRDefault="008D4C63" w:rsidP="003D573E">
            <w:pPr>
              <w:spacing w:before="20" w:after="20" w:line="240" w:lineRule="auto"/>
              <w:cnfStyle w:val="000000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Електронний кампус</w:t>
            </w:r>
          </w:p>
        </w:tc>
      </w:tr>
    </w:tbl>
    <w:p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4A6336" w:rsidRPr="006969FF" w:rsidRDefault="004D1575" w:rsidP="006F5C29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Опис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6F5C29" w:rsidRPr="006969FF">
        <w:rPr>
          <w:rFonts w:ascii="Times New Roman" w:hAnsi="Times New Roman"/>
          <w:color w:val="auto"/>
          <w:sz w:val="26"/>
          <w:szCs w:val="26"/>
        </w:rPr>
        <w:t>, її мета, предмет вивчання та результати навчання</w:t>
      </w:r>
    </w:p>
    <w:p w:rsidR="00C33037" w:rsidRPr="006969FF" w:rsidRDefault="00C33037" w:rsidP="009B4FB4">
      <w:pPr>
        <w:spacing w:before="120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Програму навчальної дисципліни «</w:t>
      </w:r>
      <w:r w:rsidR="009B4FB4" w:rsidRPr="009B4FB4">
        <w:rPr>
          <w:sz w:val="26"/>
          <w:szCs w:val="26"/>
        </w:rPr>
        <w:t>Основи сучасної хімії азотовмісних циклічних органічних сполук</w:t>
      </w:r>
      <w:r w:rsidRPr="006969FF">
        <w:rPr>
          <w:rFonts w:eastAsia="Times New Roman"/>
          <w:sz w:val="26"/>
          <w:szCs w:val="26"/>
          <w:lang w:eastAsia="ru-RU"/>
        </w:rPr>
        <w:t>» складено відповідно до освітньо-</w:t>
      </w:r>
      <w:r w:rsidRPr="00C163AF">
        <w:rPr>
          <w:rFonts w:eastAsia="Times New Roman"/>
          <w:sz w:val="26"/>
          <w:szCs w:val="26"/>
          <w:lang w:eastAsia="ru-RU"/>
        </w:rPr>
        <w:t xml:space="preserve">професійної програми підготовки магістрів </w:t>
      </w:r>
      <w:r w:rsidRPr="00C163AF">
        <w:rPr>
          <w:sz w:val="26"/>
          <w:szCs w:val="26"/>
        </w:rPr>
        <w:t xml:space="preserve">спеціальності 161 Хімічні технології та інженерія спеціалізації </w:t>
      </w:r>
      <w:r w:rsidR="006A2E1D" w:rsidRPr="005F4807">
        <w:rPr>
          <w:rStyle w:val="xfm22358885"/>
          <w:i/>
          <w:iCs/>
          <w:sz w:val="26"/>
          <w:szCs w:val="26"/>
        </w:rPr>
        <w:t>Хімія і технологія органічних матеріалів</w:t>
      </w:r>
      <w:r w:rsidRPr="00C163AF">
        <w:rPr>
          <w:rFonts w:eastAsia="Times New Roman"/>
          <w:sz w:val="26"/>
          <w:szCs w:val="26"/>
          <w:lang w:eastAsia="ru-RU"/>
        </w:rPr>
        <w:t>, за денною формою навчання. Навчальна дисципліна належить до циклу навчальних дисциплін професійної та практичної підготовки (за вибором студентів).</w:t>
      </w:r>
    </w:p>
    <w:p w:rsidR="002D19BE" w:rsidRPr="002D19BE" w:rsidRDefault="002D19BE" w:rsidP="002D19BE">
      <w:pPr>
        <w:autoSpaceDE w:val="0"/>
        <w:autoSpaceDN w:val="0"/>
        <w:adjustRightInd w:val="0"/>
        <w:spacing w:line="235" w:lineRule="auto"/>
        <w:ind w:firstLine="360"/>
        <w:jc w:val="both"/>
        <w:rPr>
          <w:sz w:val="26"/>
          <w:szCs w:val="26"/>
          <w:lang w:val="ru-RU"/>
        </w:rPr>
      </w:pPr>
      <w:r w:rsidRPr="002D19BE">
        <w:rPr>
          <w:bCs/>
          <w:sz w:val="26"/>
          <w:szCs w:val="26"/>
        </w:rPr>
        <w:t>Предмет</w:t>
      </w:r>
      <w:r w:rsidRPr="002D19BE">
        <w:rPr>
          <w:sz w:val="26"/>
          <w:szCs w:val="26"/>
        </w:rPr>
        <w:t xml:space="preserve"> навчальної дисципліни полягає у вивченні способів </w:t>
      </w:r>
      <w:r>
        <w:rPr>
          <w:sz w:val="26"/>
          <w:szCs w:val="26"/>
          <w:lang w:val="ru-RU"/>
        </w:rPr>
        <w:t>побудови</w:t>
      </w:r>
      <w:r w:rsidRPr="002D19BE">
        <w:rPr>
          <w:sz w:val="26"/>
          <w:szCs w:val="26"/>
        </w:rPr>
        <w:t xml:space="preserve"> гетероциклічних систем, їх будови та особливостей хімічних перетворень. </w:t>
      </w:r>
    </w:p>
    <w:p w:rsidR="00F96F2C" w:rsidRPr="006969FF" w:rsidRDefault="00C33037" w:rsidP="00F96F2C">
      <w:pPr>
        <w:autoSpaceDE w:val="0"/>
        <w:autoSpaceDN w:val="0"/>
        <w:adjustRightInd w:val="0"/>
        <w:spacing w:line="235" w:lineRule="auto"/>
        <w:ind w:firstLine="36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i/>
          <w:sz w:val="26"/>
          <w:szCs w:val="26"/>
          <w:lang w:eastAsia="ru-RU"/>
        </w:rPr>
        <w:t xml:space="preserve"> </w:t>
      </w:r>
      <w:r w:rsidR="00F96F2C" w:rsidRPr="006969FF">
        <w:rPr>
          <w:rFonts w:eastAsia="Times New Roman"/>
          <w:sz w:val="26"/>
          <w:szCs w:val="26"/>
          <w:lang w:eastAsia="ru-RU"/>
        </w:rPr>
        <w:t>2.1. Метою кредитного модуля є формування у студентів здатностей:</w:t>
      </w:r>
    </w:p>
    <w:p w:rsidR="002D19BE" w:rsidRPr="002D19BE" w:rsidRDefault="002D19BE" w:rsidP="002D19BE">
      <w:pPr>
        <w:pStyle w:val="af1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здатність </w:t>
      </w:r>
      <w:r w:rsidRPr="002D19BE">
        <w:rPr>
          <w:sz w:val="26"/>
          <w:szCs w:val="26"/>
        </w:rPr>
        <w:t xml:space="preserve">володіти методами синтезу, класифікації, ідентифікації </w:t>
      </w:r>
      <w:r>
        <w:rPr>
          <w:sz w:val="26"/>
          <w:szCs w:val="26"/>
        </w:rPr>
        <w:t>гетеро</w:t>
      </w:r>
      <w:r w:rsidRPr="002D19BE">
        <w:rPr>
          <w:sz w:val="26"/>
          <w:szCs w:val="26"/>
        </w:rPr>
        <w:t>органічних сполук</w:t>
      </w:r>
      <w:r>
        <w:rPr>
          <w:sz w:val="26"/>
          <w:szCs w:val="26"/>
        </w:rPr>
        <w:t>;</w:t>
      </w:r>
      <w:r w:rsidRPr="002D19BE">
        <w:rPr>
          <w:sz w:val="26"/>
          <w:szCs w:val="26"/>
        </w:rPr>
        <w:t xml:space="preserve"> </w:t>
      </w:r>
    </w:p>
    <w:p w:rsidR="002D19BE" w:rsidRPr="002D19BE" w:rsidRDefault="002D19BE" w:rsidP="002D19BE">
      <w:pPr>
        <w:pStyle w:val="af1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здатність </w:t>
      </w:r>
      <w:r w:rsidRPr="002D19BE">
        <w:rPr>
          <w:sz w:val="26"/>
          <w:szCs w:val="26"/>
        </w:rPr>
        <w:t>використовувати знання, уміння й навички в галузі фундаментальних дисциплін для рішення практичних завдань, пов</w:t>
      </w:r>
      <w:r w:rsidRPr="002D19BE">
        <w:rPr>
          <w:sz w:val="26"/>
          <w:szCs w:val="26"/>
          <w:lang w:val="ru-RU"/>
        </w:rPr>
        <w:t>’</w:t>
      </w:r>
      <w:r w:rsidRPr="002D19BE">
        <w:rPr>
          <w:sz w:val="26"/>
          <w:szCs w:val="26"/>
        </w:rPr>
        <w:t xml:space="preserve">язаних із хімією гетероциклічних сполук; </w:t>
      </w:r>
    </w:p>
    <w:p w:rsidR="002D19BE" w:rsidRPr="002D19BE" w:rsidRDefault="002D19BE" w:rsidP="002D19BE">
      <w:pPr>
        <w:pStyle w:val="af1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здатність </w:t>
      </w:r>
      <w:r w:rsidRPr="002D19BE">
        <w:rPr>
          <w:sz w:val="26"/>
          <w:szCs w:val="26"/>
        </w:rPr>
        <w:t>використ</w:t>
      </w:r>
      <w:r>
        <w:rPr>
          <w:sz w:val="26"/>
          <w:szCs w:val="26"/>
        </w:rPr>
        <w:t>овувати</w:t>
      </w:r>
      <w:r w:rsidRPr="002D19BE">
        <w:rPr>
          <w:sz w:val="26"/>
          <w:szCs w:val="26"/>
        </w:rPr>
        <w:t xml:space="preserve"> класичн</w:t>
      </w:r>
      <w:r>
        <w:rPr>
          <w:sz w:val="26"/>
          <w:szCs w:val="26"/>
        </w:rPr>
        <w:t>і</w:t>
      </w:r>
      <w:r w:rsidRPr="002D19BE">
        <w:rPr>
          <w:sz w:val="26"/>
          <w:szCs w:val="26"/>
        </w:rPr>
        <w:t xml:space="preserve"> та сучасн</w:t>
      </w:r>
      <w:r>
        <w:rPr>
          <w:sz w:val="26"/>
          <w:szCs w:val="26"/>
        </w:rPr>
        <w:t>і</w:t>
      </w:r>
      <w:r w:rsidRPr="002D19BE">
        <w:rPr>
          <w:sz w:val="26"/>
          <w:szCs w:val="26"/>
        </w:rPr>
        <w:t xml:space="preserve"> каталітичн</w:t>
      </w:r>
      <w:r>
        <w:rPr>
          <w:sz w:val="26"/>
          <w:szCs w:val="26"/>
        </w:rPr>
        <w:t>і</w:t>
      </w:r>
      <w:r w:rsidRPr="002D19BE">
        <w:rPr>
          <w:sz w:val="26"/>
          <w:szCs w:val="26"/>
        </w:rPr>
        <w:t xml:space="preserve"> метод</w:t>
      </w:r>
      <w:r>
        <w:rPr>
          <w:sz w:val="26"/>
          <w:szCs w:val="26"/>
        </w:rPr>
        <w:t>и</w:t>
      </w:r>
      <w:r w:rsidRPr="002D19BE">
        <w:rPr>
          <w:sz w:val="26"/>
          <w:szCs w:val="26"/>
        </w:rPr>
        <w:t xml:space="preserve"> функціональних перетворень гетероциклічних систем;</w:t>
      </w:r>
    </w:p>
    <w:p w:rsidR="002D19BE" w:rsidRPr="002D19BE" w:rsidRDefault="002D19BE" w:rsidP="002D19BE">
      <w:pPr>
        <w:pStyle w:val="af1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здатність </w:t>
      </w:r>
      <w:r w:rsidRPr="002D19BE">
        <w:rPr>
          <w:sz w:val="26"/>
          <w:szCs w:val="26"/>
        </w:rPr>
        <w:t>використовувати теоретичні положення органічної хімії з метою оптимального вирішення проблем багатостадійного синтезу гете</w:t>
      </w:r>
      <w:r>
        <w:rPr>
          <w:sz w:val="26"/>
          <w:szCs w:val="26"/>
        </w:rPr>
        <w:t>роциклічних систем</w:t>
      </w:r>
      <w:r w:rsidRPr="002D19BE">
        <w:rPr>
          <w:sz w:val="26"/>
          <w:szCs w:val="26"/>
        </w:rPr>
        <w:t>.</w:t>
      </w:r>
    </w:p>
    <w:p w:rsidR="00F96F2C" w:rsidRPr="00C163AF" w:rsidRDefault="00F96F2C" w:rsidP="002D19BE">
      <w:pPr>
        <w:widowControl w:val="0"/>
        <w:spacing w:line="240" w:lineRule="auto"/>
        <w:ind w:left="360"/>
        <w:jc w:val="both"/>
        <w:rPr>
          <w:rFonts w:eastAsia="Times New Roman"/>
          <w:sz w:val="26"/>
          <w:szCs w:val="26"/>
          <w:lang w:eastAsia="ru-RU"/>
        </w:rPr>
      </w:pPr>
      <w:r w:rsidRPr="00C163AF">
        <w:rPr>
          <w:rFonts w:eastAsia="Times New Roman"/>
          <w:sz w:val="26"/>
          <w:szCs w:val="26"/>
          <w:lang w:eastAsia="ru-RU"/>
        </w:rPr>
        <w:t>Згідно з вимогами програми навчальної дисципліни студенти після засвоєння кредитного модуля мають продемонструвати такі результати навчання:</w:t>
      </w:r>
    </w:p>
    <w:p w:rsidR="00F96F2C" w:rsidRPr="006969FF" w:rsidRDefault="00F96F2C" w:rsidP="00F96F2C">
      <w:pPr>
        <w:spacing w:before="120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знання:</w:t>
      </w:r>
    </w:p>
    <w:p w:rsidR="001D1762" w:rsidRPr="008917F6" w:rsidRDefault="001D1762" w:rsidP="00512188">
      <w:pPr>
        <w:pStyle w:val="13"/>
        <w:numPr>
          <w:ilvl w:val="0"/>
          <w:numId w:val="17"/>
        </w:numPr>
        <w:tabs>
          <w:tab w:val="clear" w:pos="1040"/>
          <w:tab w:val="num" w:pos="993"/>
        </w:tabs>
        <w:rPr>
          <w:szCs w:val="24"/>
        </w:rPr>
      </w:pPr>
      <w:r w:rsidRPr="008917F6">
        <w:rPr>
          <w:szCs w:val="24"/>
        </w:rPr>
        <w:t>будови та спектральних характеристик ароматичних гетероциклічних сполук;</w:t>
      </w:r>
    </w:p>
    <w:p w:rsidR="001D1762" w:rsidRPr="008917F6" w:rsidRDefault="001D1762" w:rsidP="001D1762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>реакційної здатності насичених, не</w:t>
      </w:r>
      <w:r>
        <w:rPr>
          <w:szCs w:val="24"/>
        </w:rPr>
        <w:t>насичених та ароматичних гетеро</w:t>
      </w:r>
      <w:r w:rsidRPr="008917F6">
        <w:rPr>
          <w:szCs w:val="24"/>
        </w:rPr>
        <w:t>циклів;</w:t>
      </w:r>
    </w:p>
    <w:p w:rsidR="001D1762" w:rsidRPr="008917F6" w:rsidRDefault="001D1762" w:rsidP="001D1762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>реакції і комбінації реагентів, які використовуються при побудові гетероциклічних систем.</w:t>
      </w:r>
    </w:p>
    <w:p w:rsidR="00F96F2C" w:rsidRPr="006969FF" w:rsidRDefault="00F96F2C" w:rsidP="00F96F2C">
      <w:pPr>
        <w:spacing w:before="12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уміння:</w:t>
      </w:r>
    </w:p>
    <w:p w:rsidR="003341F5" w:rsidRPr="008917F6" w:rsidRDefault="003341F5" w:rsidP="003341F5">
      <w:pPr>
        <w:pStyle w:val="13"/>
        <w:numPr>
          <w:ilvl w:val="0"/>
          <w:numId w:val="18"/>
        </w:numPr>
        <w:rPr>
          <w:szCs w:val="24"/>
        </w:rPr>
      </w:pPr>
      <w:r w:rsidRPr="008917F6">
        <w:rPr>
          <w:szCs w:val="24"/>
        </w:rPr>
        <w:t>використовувати теоретичні знання з хімії гетероциклічних сполук з метою вирішення задач щодо пошуку оптимальних методів синтезу гет</w:t>
      </w:r>
      <w:r>
        <w:rPr>
          <w:szCs w:val="24"/>
        </w:rPr>
        <w:t>е</w:t>
      </w:r>
      <w:r w:rsidRPr="008917F6">
        <w:rPr>
          <w:szCs w:val="24"/>
        </w:rPr>
        <w:t>роциклічних систем;</w:t>
      </w:r>
    </w:p>
    <w:p w:rsidR="003341F5" w:rsidRPr="008917F6" w:rsidRDefault="003341F5" w:rsidP="003341F5">
      <w:pPr>
        <w:pStyle w:val="13"/>
        <w:numPr>
          <w:ilvl w:val="0"/>
          <w:numId w:val="18"/>
        </w:numPr>
        <w:rPr>
          <w:szCs w:val="24"/>
        </w:rPr>
      </w:pPr>
      <w:r w:rsidRPr="008917F6">
        <w:rPr>
          <w:szCs w:val="24"/>
        </w:rPr>
        <w:t xml:space="preserve">планувати </w:t>
      </w:r>
      <w:r>
        <w:rPr>
          <w:szCs w:val="24"/>
        </w:rPr>
        <w:t xml:space="preserve">багатостадійний </w:t>
      </w:r>
      <w:r w:rsidRPr="008917F6">
        <w:rPr>
          <w:szCs w:val="24"/>
        </w:rPr>
        <w:t>синтез гетероциклічних сполук;</w:t>
      </w:r>
    </w:p>
    <w:p w:rsidR="003341F5" w:rsidRPr="008917F6" w:rsidRDefault="003341F5" w:rsidP="003341F5">
      <w:pPr>
        <w:pStyle w:val="13"/>
        <w:numPr>
          <w:ilvl w:val="0"/>
          <w:numId w:val="18"/>
        </w:numPr>
        <w:rPr>
          <w:szCs w:val="24"/>
        </w:rPr>
      </w:pPr>
      <w:r w:rsidRPr="008917F6">
        <w:rPr>
          <w:szCs w:val="24"/>
        </w:rPr>
        <w:t>виявляти зв’язок структура – реакційна здатність в ряду гет</w:t>
      </w:r>
      <w:r>
        <w:rPr>
          <w:szCs w:val="24"/>
        </w:rPr>
        <w:t>е</w:t>
      </w:r>
      <w:r w:rsidRPr="008917F6">
        <w:rPr>
          <w:szCs w:val="24"/>
        </w:rPr>
        <w:t>роциклів</w:t>
      </w:r>
      <w:r>
        <w:rPr>
          <w:szCs w:val="24"/>
        </w:rPr>
        <w:t xml:space="preserve"> і прогнозувати їх хімічні та фізико-хімічні властивості</w:t>
      </w:r>
      <w:r w:rsidRPr="008917F6">
        <w:rPr>
          <w:szCs w:val="24"/>
        </w:rPr>
        <w:t>;</w:t>
      </w:r>
    </w:p>
    <w:p w:rsidR="003341F5" w:rsidRPr="008917F6" w:rsidRDefault="003341F5" w:rsidP="003341F5">
      <w:pPr>
        <w:pStyle w:val="13"/>
        <w:numPr>
          <w:ilvl w:val="0"/>
          <w:numId w:val="18"/>
        </w:numPr>
        <w:rPr>
          <w:szCs w:val="24"/>
        </w:rPr>
      </w:pPr>
      <w:r w:rsidRPr="008917F6">
        <w:rPr>
          <w:szCs w:val="24"/>
        </w:rPr>
        <w:t>прогнозувати можливості практичн</w:t>
      </w:r>
      <w:r>
        <w:rPr>
          <w:szCs w:val="24"/>
        </w:rPr>
        <w:t>ого</w:t>
      </w:r>
      <w:r w:rsidRPr="008917F6">
        <w:rPr>
          <w:szCs w:val="24"/>
        </w:rPr>
        <w:t xml:space="preserve"> застосування гет</w:t>
      </w:r>
      <w:r>
        <w:rPr>
          <w:szCs w:val="24"/>
        </w:rPr>
        <w:t>е</w:t>
      </w:r>
      <w:r w:rsidRPr="008917F6">
        <w:rPr>
          <w:szCs w:val="24"/>
        </w:rPr>
        <w:t>ропохідних органічних сполук.</w:t>
      </w:r>
    </w:p>
    <w:p w:rsidR="00F96F2C" w:rsidRPr="006969FF" w:rsidRDefault="00F96F2C" w:rsidP="00F96F2C">
      <w:pPr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досвід:</w:t>
      </w:r>
    </w:p>
    <w:p w:rsidR="003341F5" w:rsidRPr="003341F5" w:rsidRDefault="003341F5" w:rsidP="003341F5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 xml:space="preserve">у проведенні </w:t>
      </w:r>
      <w:r>
        <w:rPr>
          <w:szCs w:val="24"/>
        </w:rPr>
        <w:t>експериментів щодо синтезу та</w:t>
      </w:r>
      <w:r w:rsidRPr="008917F6">
        <w:rPr>
          <w:szCs w:val="24"/>
        </w:rPr>
        <w:t xml:space="preserve"> хімічних властивостей гетероциклічних сполук;</w:t>
      </w:r>
    </w:p>
    <w:p w:rsidR="003341F5" w:rsidRPr="008917F6" w:rsidRDefault="003341F5" w:rsidP="003341F5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>визначення оптимальних субстратів в спрямованому синтезу гетероциклів.</w:t>
      </w:r>
    </w:p>
    <w:p w:rsidR="003341F5" w:rsidRDefault="003341F5" w:rsidP="003341F5">
      <w:pPr>
        <w:pStyle w:val="13"/>
        <w:numPr>
          <w:ilvl w:val="0"/>
          <w:numId w:val="17"/>
        </w:numPr>
        <w:rPr>
          <w:szCs w:val="24"/>
        </w:rPr>
      </w:pPr>
      <w:r w:rsidRPr="008917F6">
        <w:rPr>
          <w:szCs w:val="24"/>
        </w:rPr>
        <w:t xml:space="preserve">ретросинтетичного аналізу гетероциклічних систем </w:t>
      </w:r>
      <w:r>
        <w:rPr>
          <w:szCs w:val="24"/>
        </w:rPr>
        <w:t>дл</w:t>
      </w:r>
      <w:r w:rsidRPr="008917F6">
        <w:rPr>
          <w:szCs w:val="24"/>
        </w:rPr>
        <w:t xml:space="preserve">я визначення оптимального шляху побудови гетероциклу. </w:t>
      </w:r>
    </w:p>
    <w:p w:rsidR="00C33037" w:rsidRPr="006969FF" w:rsidRDefault="00C33037" w:rsidP="00C33037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:rsidR="006969FF" w:rsidRPr="006969FF" w:rsidRDefault="006969FF" w:rsidP="006969FF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6969FF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 «Механізми органічних реакцій», «Хімія елемент</w:t>
      </w:r>
      <w:r w:rsidR="00DD5F87">
        <w:rPr>
          <w:rFonts w:eastAsia="Times New Roman"/>
          <w:sz w:val="26"/>
          <w:szCs w:val="26"/>
          <w:lang w:eastAsia="ru-RU"/>
        </w:rPr>
        <w:t>о</w:t>
      </w:r>
      <w:r w:rsidRPr="006969FF">
        <w:rPr>
          <w:rFonts w:eastAsia="Times New Roman"/>
          <w:sz w:val="26"/>
          <w:szCs w:val="26"/>
          <w:lang w:eastAsia="ru-RU"/>
        </w:rPr>
        <w:t>органічних сполук», «Стереохімія органічних сполук», «Кінетика та термодинаміка органічних реакцій», «Хімія гетероциклічних сполук» та «Експериментальні методи дослідження процесів органічного синтезу» і є завершальним у циклі професійної і практичної підготовки.</w:t>
      </w:r>
    </w:p>
    <w:p w:rsidR="006969FF" w:rsidRPr="006969FF" w:rsidRDefault="006969FF" w:rsidP="006969FF">
      <w:pPr>
        <w:rPr>
          <w:sz w:val="26"/>
          <w:szCs w:val="26"/>
        </w:rPr>
      </w:pPr>
    </w:p>
    <w:p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C33037" w:rsidRPr="006969FF" w:rsidRDefault="00C33037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Кредитний модуль </w:t>
      </w:r>
      <w:r w:rsidR="009B4FB4" w:rsidRPr="006969FF">
        <w:rPr>
          <w:rFonts w:eastAsia="Times New Roman"/>
          <w:sz w:val="26"/>
          <w:szCs w:val="26"/>
          <w:lang w:eastAsia="ru-RU"/>
        </w:rPr>
        <w:t>«</w:t>
      </w:r>
      <w:r w:rsidR="009B4FB4" w:rsidRPr="009B4FB4">
        <w:rPr>
          <w:sz w:val="26"/>
          <w:szCs w:val="26"/>
        </w:rPr>
        <w:t>Основи сучасної хімії азотовмісних циклічних органічних сполук</w:t>
      </w:r>
      <w:r w:rsidR="009B4FB4" w:rsidRPr="006969FF">
        <w:rPr>
          <w:rFonts w:eastAsia="Times New Roman"/>
          <w:sz w:val="26"/>
          <w:szCs w:val="26"/>
          <w:lang w:eastAsia="ru-RU"/>
        </w:rPr>
        <w:t>»</w:t>
      </w:r>
      <w:r w:rsidRPr="006969FF">
        <w:rPr>
          <w:rFonts w:eastAsia="Times New Roman"/>
          <w:sz w:val="26"/>
          <w:szCs w:val="26"/>
          <w:lang w:eastAsia="ru-RU"/>
        </w:rPr>
        <w:t xml:space="preserve"> складається з 36 годин лекцій</w:t>
      </w:r>
      <w:r w:rsidR="006A2E1D">
        <w:rPr>
          <w:rFonts w:eastAsia="Times New Roman"/>
          <w:sz w:val="26"/>
          <w:szCs w:val="26"/>
          <w:lang w:eastAsia="ru-RU"/>
        </w:rPr>
        <w:t>, 18 годин практичних занять</w:t>
      </w:r>
      <w:r w:rsidRPr="006969FF">
        <w:rPr>
          <w:rFonts w:eastAsia="Times New Roman"/>
          <w:sz w:val="26"/>
          <w:szCs w:val="26"/>
          <w:lang w:eastAsia="ru-RU"/>
        </w:rPr>
        <w:t xml:space="preserve"> та </w:t>
      </w:r>
      <w:r w:rsidR="00C613F3">
        <w:rPr>
          <w:rFonts w:eastAsia="Times New Roman"/>
          <w:sz w:val="26"/>
          <w:szCs w:val="26"/>
          <w:lang w:eastAsia="ru-RU"/>
        </w:rPr>
        <w:t>36</w:t>
      </w:r>
      <w:r w:rsidRPr="006969FF">
        <w:rPr>
          <w:rFonts w:eastAsia="Times New Roman"/>
          <w:sz w:val="26"/>
          <w:szCs w:val="26"/>
          <w:lang w:eastAsia="ru-RU"/>
        </w:rPr>
        <w:t xml:space="preserve"> годин </w:t>
      </w:r>
      <w:r w:rsidR="00DD5F87">
        <w:rPr>
          <w:rFonts w:eastAsia="Times New Roman"/>
          <w:sz w:val="26"/>
          <w:szCs w:val="26"/>
          <w:lang w:eastAsia="ru-RU"/>
        </w:rPr>
        <w:t>лабораторних занять</w:t>
      </w:r>
      <w:r w:rsidRPr="006969FF">
        <w:rPr>
          <w:rFonts w:eastAsia="Times New Roman"/>
          <w:sz w:val="26"/>
          <w:szCs w:val="26"/>
          <w:lang w:eastAsia="ru-RU"/>
        </w:rPr>
        <w:t xml:space="preserve">. Головним завданням курсу є набуття студентами навичок </w:t>
      </w:r>
      <w:r w:rsidR="00DD5F87">
        <w:rPr>
          <w:rFonts w:eastAsia="Times New Roman"/>
          <w:sz w:val="26"/>
          <w:szCs w:val="26"/>
          <w:lang w:eastAsia="ru-RU"/>
        </w:rPr>
        <w:t>вибору оптимальних підходів до складних гетероциклічних систем і прогнозування їх хімічних властивостей в залежності від будови</w:t>
      </w:r>
      <w:r w:rsidRPr="006969FF">
        <w:rPr>
          <w:rFonts w:eastAsia="Times New Roman"/>
          <w:sz w:val="26"/>
          <w:szCs w:val="26"/>
          <w:lang w:eastAsia="ru-RU"/>
        </w:rPr>
        <w:t>. Курс розрахований на закріплення знань, які були отримані за попередні роки навчання в галузі органічної хімії. Цей курс складається з трьох розділів :</w:t>
      </w:r>
    </w:p>
    <w:p w:rsidR="00C33037" w:rsidRPr="006969FF" w:rsidRDefault="00C33037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Вступ до </w:t>
      </w:r>
      <w:r w:rsidR="00F30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курсу </w:t>
      </w: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хімії</w:t>
      </w:r>
      <w:r w:rsidR="00DD5F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гетероциклічних сполук</w:t>
      </w: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DD5F87" w:rsidRDefault="00DD5F87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>Шестичленні гетероцикли та їх бенз</w:t>
      </w:r>
      <w:r w:rsidR="00F301A5">
        <w:rPr>
          <w:rFonts w:ascii="Times New Roman" w:eastAsia="Times New Roman" w:hAnsi="Times New Roman"/>
          <w:sz w:val="26"/>
          <w:szCs w:val="26"/>
          <w:lang w:val="uk-UA" w:eastAsia="ru-RU"/>
        </w:rPr>
        <w:t>о</w:t>
      </w:r>
      <w:r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та гетероконденсовані аналоги </w:t>
      </w:r>
    </w:p>
    <w:p w:rsidR="00DD5F87" w:rsidRDefault="00DD5F87" w:rsidP="00DD5F8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П‘яти</w:t>
      </w:r>
      <w:r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>членні гетероцикли та їх бенз</w:t>
      </w:r>
      <w:r w:rsidR="00F301A5">
        <w:rPr>
          <w:rFonts w:ascii="Times New Roman" w:eastAsia="Times New Roman" w:hAnsi="Times New Roman"/>
          <w:sz w:val="26"/>
          <w:szCs w:val="26"/>
          <w:lang w:val="uk-UA" w:eastAsia="ru-RU"/>
        </w:rPr>
        <w:t>о</w:t>
      </w:r>
      <w:r w:rsidRPr="00DD5F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та гетероконденсовані аналоги </w:t>
      </w:r>
    </w:p>
    <w:p w:rsidR="008B16FE" w:rsidRPr="006969FF" w:rsidRDefault="008B16FE" w:rsidP="008B16FE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:rsidR="00392C17" w:rsidRPr="00392C17" w:rsidRDefault="00392C17" w:rsidP="00392C17">
      <w:pPr>
        <w:spacing w:line="240" w:lineRule="auto"/>
        <w:rPr>
          <w:rFonts w:cs="TrumpMediaeval-Roman"/>
          <w:sz w:val="26"/>
          <w:szCs w:val="26"/>
        </w:rPr>
      </w:pPr>
      <w:r w:rsidRPr="00392C17">
        <w:rPr>
          <w:bCs/>
          <w:sz w:val="26"/>
          <w:szCs w:val="26"/>
        </w:rPr>
        <w:t>1</w:t>
      </w:r>
      <w:r w:rsidRPr="00392C17">
        <w:rPr>
          <w:b/>
          <w:bCs/>
          <w:sz w:val="26"/>
          <w:szCs w:val="26"/>
        </w:rPr>
        <w:t xml:space="preserve">. </w:t>
      </w:r>
      <w:r w:rsidRPr="00392C17">
        <w:rPr>
          <w:rFonts w:cs="TrumpMediaeval-Roman"/>
          <w:sz w:val="26"/>
          <w:szCs w:val="26"/>
          <w:lang w:val="en-US"/>
        </w:rPr>
        <w:t>Joule</w:t>
      </w:r>
      <w:r w:rsidRPr="00392C17">
        <w:rPr>
          <w:rFonts w:cs="TrumpMediaeval-Roman"/>
          <w:sz w:val="26"/>
          <w:szCs w:val="26"/>
        </w:rPr>
        <w:t xml:space="preserve"> </w:t>
      </w:r>
      <w:r w:rsidRPr="00392C17">
        <w:rPr>
          <w:rFonts w:cs="TrumpMediaeval-Roman"/>
          <w:sz w:val="26"/>
          <w:szCs w:val="26"/>
          <w:lang w:val="en-US"/>
        </w:rPr>
        <w:t>J</w:t>
      </w:r>
      <w:r w:rsidRPr="00392C17">
        <w:rPr>
          <w:rFonts w:cs="TrumpMediaeval-Roman"/>
          <w:sz w:val="26"/>
          <w:szCs w:val="26"/>
        </w:rPr>
        <w:t>.</w:t>
      </w:r>
      <w:r w:rsidRPr="00392C17">
        <w:rPr>
          <w:rFonts w:cs="TrumpMediaeval-Roman"/>
          <w:sz w:val="26"/>
          <w:szCs w:val="26"/>
          <w:lang w:val="en-US"/>
        </w:rPr>
        <w:t>A</w:t>
      </w:r>
      <w:r w:rsidRPr="00392C17">
        <w:rPr>
          <w:rFonts w:cs="TrumpMediaeval-Roman"/>
          <w:sz w:val="26"/>
          <w:szCs w:val="26"/>
        </w:rPr>
        <w:t xml:space="preserve">., </w:t>
      </w:r>
      <w:r w:rsidRPr="00392C17">
        <w:rPr>
          <w:rFonts w:cs="TrumpMediaeval-Roman"/>
          <w:sz w:val="26"/>
          <w:szCs w:val="26"/>
          <w:lang w:val="en-US"/>
        </w:rPr>
        <w:t>Mills</w:t>
      </w:r>
      <w:r w:rsidRPr="00392C17">
        <w:rPr>
          <w:rFonts w:cs="TrumpMediaeval-Roman"/>
          <w:sz w:val="26"/>
          <w:szCs w:val="26"/>
        </w:rPr>
        <w:t xml:space="preserve"> </w:t>
      </w:r>
      <w:r w:rsidRPr="00392C17">
        <w:rPr>
          <w:rFonts w:cs="TrumpMediaeval-Roman"/>
          <w:sz w:val="26"/>
          <w:szCs w:val="26"/>
          <w:lang w:val="en-US"/>
        </w:rPr>
        <w:t>K</w:t>
      </w:r>
      <w:r w:rsidRPr="00392C17">
        <w:rPr>
          <w:rFonts w:cs="TrumpMediaeval-Roman"/>
          <w:sz w:val="26"/>
          <w:szCs w:val="26"/>
        </w:rPr>
        <w:t xml:space="preserve">., </w:t>
      </w:r>
      <w:r w:rsidRPr="00392C17">
        <w:rPr>
          <w:rFonts w:cs="TrumpMediaeval-Roman"/>
          <w:sz w:val="26"/>
          <w:szCs w:val="26"/>
          <w:lang w:val="en-US"/>
        </w:rPr>
        <w:t>Heterocyclic</w:t>
      </w:r>
      <w:r w:rsidRPr="00392C17">
        <w:rPr>
          <w:rFonts w:cs="TrumpMediaeval-Roman"/>
          <w:sz w:val="26"/>
          <w:szCs w:val="26"/>
        </w:rPr>
        <w:t xml:space="preserve"> </w:t>
      </w:r>
      <w:r w:rsidRPr="00392C17">
        <w:rPr>
          <w:rFonts w:cs="TrumpMediaeval-Roman"/>
          <w:sz w:val="26"/>
          <w:szCs w:val="26"/>
          <w:lang w:val="en-US"/>
        </w:rPr>
        <w:t>Chemistry</w:t>
      </w:r>
      <w:r w:rsidRPr="00392C17">
        <w:rPr>
          <w:rFonts w:cs="TrumpMediaeval-Roman"/>
          <w:sz w:val="26"/>
          <w:szCs w:val="26"/>
        </w:rPr>
        <w:t xml:space="preserve">, </w:t>
      </w:r>
      <w:r w:rsidRPr="00392C17">
        <w:rPr>
          <w:rFonts w:ascii="TrumpMediaeval-Roman" w:hAnsi="TrumpMediaeval-Roman" w:cs="TrumpMediaeval-Roman"/>
          <w:sz w:val="26"/>
          <w:szCs w:val="26"/>
        </w:rPr>
        <w:t>A John Wiley &amp; Sons, Ltd., Pub</w:t>
      </w:r>
      <w:r w:rsidRPr="00392C17">
        <w:rPr>
          <w:rFonts w:ascii="TrumpMediaeval-Roman" w:hAnsi="TrumpMediaeval-Roman" w:cs="TrumpMediaeval-Roman"/>
          <w:sz w:val="26"/>
          <w:szCs w:val="26"/>
          <w:lang w:val="en-US"/>
        </w:rPr>
        <w:t>l</w:t>
      </w:r>
      <w:r w:rsidRPr="00392C17">
        <w:rPr>
          <w:rFonts w:ascii="TrumpMediaeval-Roman" w:hAnsi="TrumpMediaeval-Roman" w:cs="TrumpMediaeval-Roman"/>
          <w:sz w:val="26"/>
          <w:szCs w:val="26"/>
        </w:rPr>
        <w:t>. 2010.</w:t>
      </w:r>
    </w:p>
    <w:p w:rsidR="00392C17" w:rsidRPr="00392C17" w:rsidRDefault="00392C17" w:rsidP="00392C17">
      <w:pPr>
        <w:spacing w:line="240" w:lineRule="auto"/>
        <w:jc w:val="both"/>
        <w:rPr>
          <w:rFonts w:cs="TrumpMediaeval-Roman"/>
          <w:sz w:val="26"/>
          <w:szCs w:val="26"/>
        </w:rPr>
      </w:pPr>
      <w:r w:rsidRPr="00392C17">
        <w:rPr>
          <w:sz w:val="26"/>
          <w:szCs w:val="26"/>
        </w:rPr>
        <w:lastRenderedPageBreak/>
        <w:t xml:space="preserve">2. </w:t>
      </w:r>
      <w:r w:rsidRPr="00392C17">
        <w:rPr>
          <w:sz w:val="26"/>
          <w:szCs w:val="26"/>
          <w:lang w:val="en-US"/>
        </w:rPr>
        <w:t xml:space="preserve">Quin L.D., Tyrell J.A., Fundamentals of Heterocyclic Chemistry: Importance in Nature and in the Synthesis of Pharmaceuticals. </w:t>
      </w:r>
      <w:r w:rsidRPr="00392C17">
        <w:rPr>
          <w:rFonts w:ascii="TrumpMediaeval-Roman" w:hAnsi="TrumpMediaeval-Roman" w:cs="TrumpMediaeval-Roman"/>
          <w:sz w:val="26"/>
          <w:szCs w:val="26"/>
        </w:rPr>
        <w:t>A John Wiley &amp; Sons, Ltd., Pub</w:t>
      </w:r>
      <w:r w:rsidRPr="00392C17">
        <w:rPr>
          <w:rFonts w:ascii="TrumpMediaeval-Roman" w:hAnsi="TrumpMediaeval-Roman" w:cs="TrumpMediaeval-Roman"/>
          <w:sz w:val="26"/>
          <w:szCs w:val="26"/>
          <w:lang w:val="en-US"/>
        </w:rPr>
        <w:t>l. 2010.</w:t>
      </w:r>
    </w:p>
    <w:p w:rsidR="00392C17" w:rsidRPr="00392C17" w:rsidRDefault="00392C17" w:rsidP="00392C17">
      <w:pPr>
        <w:pStyle w:val="Default"/>
        <w:rPr>
          <w:rFonts w:ascii="Times New Roman" w:hAnsi="Times New Roman"/>
          <w:sz w:val="26"/>
          <w:szCs w:val="26"/>
        </w:rPr>
      </w:pPr>
      <w:r w:rsidRPr="00392C17">
        <w:rPr>
          <w:rFonts w:ascii="Times New Roman" w:hAnsi="Times New Roman"/>
          <w:sz w:val="26"/>
          <w:szCs w:val="26"/>
        </w:rPr>
        <w:t xml:space="preserve">3. </w:t>
      </w:r>
      <w:r w:rsidRPr="00392C17">
        <w:rPr>
          <w:sz w:val="26"/>
          <w:szCs w:val="26"/>
        </w:rPr>
        <w:t>Katritzky</w:t>
      </w:r>
      <w:r w:rsidRPr="00392C17">
        <w:rPr>
          <w:sz w:val="26"/>
          <w:szCs w:val="26"/>
          <w:lang w:val="en-US"/>
        </w:rPr>
        <w:t xml:space="preserve"> A.R.,</w:t>
      </w:r>
      <w:r w:rsidRPr="00392C17">
        <w:rPr>
          <w:sz w:val="26"/>
          <w:szCs w:val="26"/>
        </w:rPr>
        <w:t xml:space="preserve"> J. M. Lagowski</w:t>
      </w:r>
      <w:r w:rsidRPr="00392C17">
        <w:rPr>
          <w:sz w:val="26"/>
          <w:szCs w:val="26"/>
          <w:lang w:val="en-US"/>
        </w:rPr>
        <w:t xml:space="preserve"> J.M. </w:t>
      </w:r>
      <w:r w:rsidRPr="00392C17">
        <w:rPr>
          <w:sz w:val="26"/>
          <w:szCs w:val="26"/>
        </w:rPr>
        <w:t>Handbook of Heterocyclic Chemistry</w:t>
      </w:r>
      <w:r w:rsidRPr="00392C17">
        <w:rPr>
          <w:sz w:val="26"/>
          <w:szCs w:val="26"/>
          <w:lang w:val="en-US"/>
        </w:rPr>
        <w:t xml:space="preserve">. </w:t>
      </w:r>
      <w:r w:rsidRPr="00392C17">
        <w:rPr>
          <w:sz w:val="26"/>
          <w:szCs w:val="26"/>
        </w:rPr>
        <w:t xml:space="preserve"> Elsevier</w:t>
      </w:r>
      <w:r w:rsidRPr="00392C17">
        <w:rPr>
          <w:sz w:val="26"/>
          <w:szCs w:val="26"/>
          <w:lang w:val="ru-RU"/>
        </w:rPr>
        <w:t>, 2010.</w:t>
      </w:r>
    </w:p>
    <w:p w:rsidR="00392C17" w:rsidRPr="00392C17" w:rsidRDefault="00392C17" w:rsidP="00392C17">
      <w:pPr>
        <w:pStyle w:val="Default"/>
        <w:rPr>
          <w:sz w:val="26"/>
          <w:szCs w:val="26"/>
          <w:lang w:val="ru-RU"/>
        </w:rPr>
      </w:pPr>
      <w:r w:rsidRPr="00392C17">
        <w:rPr>
          <w:sz w:val="26"/>
          <w:szCs w:val="26"/>
          <w:lang w:val="ru-RU"/>
        </w:rPr>
        <w:t>4. Дж. Джоуль, К. Миллс, Химия гетероциклических соединений. М. «Мир», 2004.</w:t>
      </w:r>
    </w:p>
    <w:p w:rsidR="00392C17" w:rsidRPr="00392C17" w:rsidRDefault="00392C17" w:rsidP="00392C17">
      <w:pPr>
        <w:pStyle w:val="Default"/>
        <w:rPr>
          <w:sz w:val="26"/>
          <w:szCs w:val="26"/>
          <w:lang w:val="ru-RU"/>
        </w:rPr>
      </w:pPr>
      <w:r w:rsidRPr="00392C17">
        <w:rPr>
          <w:sz w:val="26"/>
          <w:szCs w:val="26"/>
          <w:lang w:val="ru-RU"/>
        </w:rPr>
        <w:t>5. Т. Джилкрист. Химия гетероциклических соединений. М. «Мир», 1996.</w:t>
      </w:r>
    </w:p>
    <w:p w:rsidR="00392C17" w:rsidRPr="00392C17" w:rsidRDefault="00392C17" w:rsidP="00392C17">
      <w:pPr>
        <w:spacing w:line="240" w:lineRule="auto"/>
        <w:jc w:val="both"/>
        <w:rPr>
          <w:sz w:val="26"/>
          <w:szCs w:val="26"/>
          <w:lang w:val="ru-RU"/>
        </w:rPr>
      </w:pPr>
      <w:r w:rsidRPr="00392C17">
        <w:rPr>
          <w:sz w:val="26"/>
          <w:szCs w:val="26"/>
          <w:lang w:val="ru-RU"/>
        </w:rPr>
        <w:t>6. Титце Л., Айхер Т. Препаративная органическая химия. М. «Мир», 2004.</w:t>
      </w:r>
    </w:p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4A6336" w:rsidRPr="006969FF" w:rsidRDefault="00791855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6969FF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:rsidR="00392C17" w:rsidRDefault="00392C17" w:rsidP="00392C17">
      <w:pPr>
        <w:ind w:firstLine="720"/>
        <w:jc w:val="both"/>
        <w:rPr>
          <w:sz w:val="26"/>
          <w:szCs w:val="26"/>
        </w:rPr>
      </w:pPr>
      <w:r w:rsidRPr="005D67DF">
        <w:rPr>
          <w:sz w:val="26"/>
          <w:szCs w:val="26"/>
        </w:rPr>
        <w:t xml:space="preserve">Лабораторні роботи мають на меті навчити студентів самостійно синтезувати органічну речовину, виділити її у індивідуальному вигляді та охарактеризувати сучасними методами і довести її будову. </w:t>
      </w:r>
    </w:p>
    <w:p w:rsidR="00392C17" w:rsidRPr="00392C17" w:rsidRDefault="00392C17" w:rsidP="00392C17">
      <w:pPr>
        <w:pStyle w:val="Style3"/>
        <w:widowControl/>
        <w:spacing w:line="240" w:lineRule="auto"/>
        <w:ind w:left="686"/>
        <w:jc w:val="both"/>
        <w:rPr>
          <w:bCs/>
          <w:sz w:val="26"/>
          <w:szCs w:val="26"/>
          <w:lang w:val="ru-RU" w:eastAsia="ru-RU"/>
        </w:rPr>
      </w:pPr>
      <w:r w:rsidRPr="00392C17">
        <w:rPr>
          <w:sz w:val="26"/>
          <w:szCs w:val="26"/>
        </w:rPr>
        <w:t xml:space="preserve">Лаб. робота №1 </w:t>
      </w:r>
      <w:r w:rsidRPr="00392C17">
        <w:rPr>
          <w:rStyle w:val="FontStyle37"/>
          <w:b w:val="0"/>
          <w:sz w:val="26"/>
          <w:szCs w:val="26"/>
          <w:lang w:val="ru-RU" w:eastAsia="ru-RU"/>
        </w:rPr>
        <w:t>Етиловий естер 3,5-диметилізоксазолкарбонової-4 кислоти</w:t>
      </w:r>
    </w:p>
    <w:p w:rsidR="00392C17" w:rsidRPr="00392C17" w:rsidRDefault="00392C17" w:rsidP="00392C17">
      <w:pPr>
        <w:pStyle w:val="Style20"/>
        <w:widowControl/>
        <w:spacing w:line="240" w:lineRule="auto"/>
        <w:rPr>
          <w:b/>
          <w:sz w:val="26"/>
          <w:szCs w:val="26"/>
          <w:lang w:val="ru-RU" w:eastAsia="ru-RU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2. </w:t>
      </w:r>
      <w:r w:rsidRPr="00392C17">
        <w:rPr>
          <w:rStyle w:val="FontStyle33"/>
          <w:rFonts w:eastAsiaTheme="minorHAnsi"/>
          <w:b w:val="0"/>
          <w:sz w:val="26"/>
          <w:szCs w:val="26"/>
          <w:lang w:val="ru-RU" w:eastAsia="ru-RU"/>
        </w:rPr>
        <w:t>2-Аміно-4-метилпіримідин</w:t>
      </w:r>
    </w:p>
    <w:p w:rsidR="00392C17" w:rsidRPr="00392C17" w:rsidRDefault="00392C17" w:rsidP="00392C17">
      <w:pPr>
        <w:pStyle w:val="Style8"/>
        <w:widowControl/>
        <w:jc w:val="both"/>
        <w:rPr>
          <w:b/>
          <w:sz w:val="26"/>
          <w:szCs w:val="26"/>
          <w:lang w:val="ru-RU" w:eastAsia="ru-RU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3. </w:t>
      </w:r>
      <w:r w:rsidRPr="00392C17">
        <w:rPr>
          <w:rStyle w:val="FontStyle19"/>
          <w:rFonts w:eastAsiaTheme="minorHAnsi"/>
          <w:b w:val="0"/>
          <w:sz w:val="26"/>
          <w:szCs w:val="26"/>
          <w:lang w:val="ru-RU" w:eastAsia="ru-RU"/>
        </w:rPr>
        <w:t>2,6-Диметил</w:t>
      </w:r>
      <w:r w:rsidRPr="00392C17">
        <w:rPr>
          <w:rStyle w:val="FontStyle19"/>
          <w:rFonts w:eastAsiaTheme="minorHAnsi"/>
          <w:b w:val="0"/>
          <w:sz w:val="26"/>
          <w:szCs w:val="26"/>
          <w:lang w:eastAsia="ru-RU"/>
        </w:rPr>
        <w:t>хінолінкарбонова-4 кислота</w:t>
      </w:r>
    </w:p>
    <w:p w:rsidR="00392C17" w:rsidRPr="00392C17" w:rsidRDefault="00392C17" w:rsidP="00392C17">
      <w:pPr>
        <w:pStyle w:val="Style8"/>
        <w:widowControl/>
        <w:jc w:val="both"/>
        <w:rPr>
          <w:bCs/>
          <w:sz w:val="26"/>
          <w:szCs w:val="26"/>
          <w:lang w:val="ru-RU" w:eastAsia="ru-RU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4. </w:t>
      </w:r>
      <w:r w:rsidRPr="00392C17">
        <w:rPr>
          <w:rStyle w:val="FontStyle20"/>
          <w:rFonts w:eastAsiaTheme="minorHAnsi"/>
          <w:b w:val="0"/>
          <w:sz w:val="26"/>
          <w:szCs w:val="26"/>
          <w:lang w:eastAsia="ru-RU"/>
        </w:rPr>
        <w:t>4-Етокси-4'-метокси-6-метилфлавілія перхлорат</w:t>
      </w:r>
    </w:p>
    <w:p w:rsidR="00392C17" w:rsidRPr="00392C17" w:rsidRDefault="00392C17" w:rsidP="00392C17">
      <w:pPr>
        <w:pStyle w:val="Style2"/>
        <w:widowControl/>
        <w:spacing w:line="240" w:lineRule="auto"/>
        <w:ind w:firstLine="0"/>
        <w:rPr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5. </w:t>
      </w:r>
      <w:r w:rsidRPr="00392C17">
        <w:rPr>
          <w:sz w:val="26"/>
          <w:szCs w:val="26"/>
        </w:rPr>
        <w:t xml:space="preserve">7- Метилдигідрофуро[2,3-б]хінолін </w:t>
      </w:r>
    </w:p>
    <w:p w:rsidR="00392C17" w:rsidRPr="00392C17" w:rsidRDefault="00392C17" w:rsidP="00392C17">
      <w:pPr>
        <w:pStyle w:val="Style2"/>
        <w:widowControl/>
        <w:spacing w:line="240" w:lineRule="auto"/>
        <w:ind w:firstLine="0"/>
        <w:rPr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6. </w:t>
      </w:r>
      <w:r w:rsidRPr="00392C17">
        <w:rPr>
          <w:rStyle w:val="FontStyle24"/>
          <w:sz w:val="26"/>
          <w:szCs w:val="26"/>
          <w:lang w:eastAsia="ru-RU"/>
        </w:rPr>
        <w:t>Дипропіловий естер 4-оксогептандикарбонової кислоти</w:t>
      </w:r>
    </w:p>
    <w:p w:rsidR="00392C17" w:rsidRPr="00F301A5" w:rsidRDefault="00392C17" w:rsidP="00392C17">
      <w:pPr>
        <w:pStyle w:val="Style7"/>
        <w:widowControl/>
        <w:spacing w:before="5" w:line="240" w:lineRule="auto"/>
        <w:ind w:left="10"/>
        <w:jc w:val="both"/>
        <w:rPr>
          <w:bCs/>
          <w:i/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7. </w:t>
      </w:r>
      <w:r w:rsidRPr="00F301A5">
        <w:rPr>
          <w:rStyle w:val="FontStyle27"/>
          <w:i w:val="0"/>
          <w:sz w:val="26"/>
          <w:szCs w:val="26"/>
          <w:lang w:eastAsia="ru-RU"/>
        </w:rPr>
        <w:t>Метиловий естер індоліл-4-карбонової кислоти</w:t>
      </w:r>
    </w:p>
    <w:p w:rsidR="00392C17" w:rsidRPr="00392C17" w:rsidRDefault="00392C17" w:rsidP="00392C17">
      <w:pPr>
        <w:spacing w:line="240" w:lineRule="auto"/>
        <w:jc w:val="both"/>
        <w:rPr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8а. </w:t>
      </w:r>
      <w:r w:rsidRPr="00392C17">
        <w:rPr>
          <w:sz w:val="26"/>
          <w:szCs w:val="26"/>
        </w:rPr>
        <w:t>9-</w:t>
      </w:r>
      <w:r>
        <w:rPr>
          <w:sz w:val="26"/>
          <w:szCs w:val="26"/>
        </w:rPr>
        <w:t>Ц</w:t>
      </w:r>
      <w:r w:rsidRPr="00392C17">
        <w:rPr>
          <w:sz w:val="26"/>
          <w:szCs w:val="26"/>
        </w:rPr>
        <w:t>іанопентацикло[4.3.0.0</w:t>
      </w:r>
      <w:r w:rsidRPr="00392C17">
        <w:rPr>
          <w:sz w:val="26"/>
          <w:szCs w:val="26"/>
          <w:vertAlign w:val="superscript"/>
        </w:rPr>
        <w:t>2,5</w:t>
      </w:r>
      <w:r w:rsidRPr="00392C17">
        <w:rPr>
          <w:sz w:val="26"/>
          <w:szCs w:val="26"/>
        </w:rPr>
        <w:t>.0</w:t>
      </w:r>
      <w:r w:rsidRPr="00392C17">
        <w:rPr>
          <w:sz w:val="26"/>
          <w:szCs w:val="26"/>
          <w:vertAlign w:val="superscript"/>
        </w:rPr>
        <w:t>3,8</w:t>
      </w:r>
      <w:r w:rsidRPr="00392C17">
        <w:rPr>
          <w:sz w:val="26"/>
          <w:szCs w:val="26"/>
        </w:rPr>
        <w:t>.0</w:t>
      </w:r>
      <w:r w:rsidRPr="00392C17">
        <w:rPr>
          <w:sz w:val="26"/>
          <w:szCs w:val="26"/>
          <w:vertAlign w:val="superscript"/>
        </w:rPr>
        <w:t>4,7</w:t>
      </w:r>
      <w:r w:rsidRPr="00392C17">
        <w:rPr>
          <w:sz w:val="26"/>
          <w:szCs w:val="26"/>
        </w:rPr>
        <w:t>]нонан-9-ацетонітрил</w:t>
      </w:r>
    </w:p>
    <w:p w:rsidR="00392C17" w:rsidRPr="00392C17" w:rsidRDefault="00392C17" w:rsidP="00392C17">
      <w:pPr>
        <w:spacing w:line="240" w:lineRule="auto"/>
        <w:jc w:val="both"/>
        <w:rPr>
          <w:sz w:val="26"/>
          <w:szCs w:val="26"/>
        </w:rPr>
      </w:pPr>
      <w:r w:rsidRPr="00392C17">
        <w:rPr>
          <w:sz w:val="26"/>
          <w:szCs w:val="26"/>
        </w:rPr>
        <w:t>Лаб. робота №</w:t>
      </w:r>
      <w:r w:rsidRPr="00392C17">
        <w:rPr>
          <w:bCs/>
          <w:sz w:val="26"/>
          <w:szCs w:val="26"/>
        </w:rPr>
        <w:t xml:space="preserve">8б. </w:t>
      </w:r>
      <w:r w:rsidRPr="00392C17">
        <w:rPr>
          <w:sz w:val="26"/>
          <w:szCs w:val="26"/>
        </w:rPr>
        <w:t>Пентацикло[4.3.0.0</w:t>
      </w:r>
      <w:r w:rsidRPr="00392C17">
        <w:rPr>
          <w:sz w:val="26"/>
          <w:szCs w:val="26"/>
          <w:vertAlign w:val="superscript"/>
        </w:rPr>
        <w:t>2,5</w:t>
      </w:r>
      <w:r w:rsidRPr="00392C17">
        <w:rPr>
          <w:sz w:val="26"/>
          <w:szCs w:val="26"/>
        </w:rPr>
        <w:t>.0</w:t>
      </w:r>
      <w:r w:rsidRPr="00392C17">
        <w:rPr>
          <w:sz w:val="26"/>
          <w:szCs w:val="26"/>
          <w:vertAlign w:val="superscript"/>
        </w:rPr>
        <w:t>3,8</w:t>
      </w:r>
      <w:r w:rsidRPr="00392C17">
        <w:rPr>
          <w:sz w:val="26"/>
          <w:szCs w:val="26"/>
        </w:rPr>
        <w:t>.0</w:t>
      </w:r>
      <w:r w:rsidRPr="00392C17">
        <w:rPr>
          <w:sz w:val="26"/>
          <w:szCs w:val="26"/>
          <w:vertAlign w:val="superscript"/>
        </w:rPr>
        <w:t>4,7</w:t>
      </w:r>
      <w:r w:rsidRPr="00392C17">
        <w:rPr>
          <w:sz w:val="26"/>
          <w:szCs w:val="26"/>
        </w:rPr>
        <w:t>]нонанспіро-3-пірролідин-2,5-діон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Самостійна робота студента</w:t>
      </w:r>
      <w:r w:rsidR="00F677B9" w:rsidRPr="006969FF">
        <w:rPr>
          <w:rFonts w:ascii="Times New Roman" w:hAnsi="Times New Roman"/>
          <w:color w:val="auto"/>
          <w:sz w:val="26"/>
          <w:szCs w:val="26"/>
        </w:rPr>
        <w:t>/аспіранта</w:t>
      </w:r>
    </w:p>
    <w:p w:rsidR="006969FF" w:rsidRPr="006969FF" w:rsidRDefault="006969FF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Кожен студент отримує індивідуальне завдання</w:t>
      </w:r>
      <w:r w:rsidR="00F301A5">
        <w:rPr>
          <w:rFonts w:eastAsia="Times New Roman"/>
          <w:bCs/>
          <w:sz w:val="26"/>
          <w:szCs w:val="26"/>
          <w:lang w:eastAsia="ru-RU"/>
        </w:rPr>
        <w:t>, яке має виконати у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вигляді </w:t>
      </w:r>
      <w:r w:rsidR="00392C17">
        <w:rPr>
          <w:rFonts w:eastAsia="Times New Roman"/>
          <w:bCs/>
          <w:sz w:val="26"/>
          <w:szCs w:val="26"/>
          <w:lang w:eastAsia="ru-RU"/>
        </w:rPr>
        <w:t>реферату</w:t>
      </w:r>
      <w:r w:rsidRPr="006969FF">
        <w:rPr>
          <w:rFonts w:eastAsia="Times New Roman"/>
          <w:bCs/>
          <w:sz w:val="26"/>
          <w:szCs w:val="26"/>
          <w:lang w:eastAsia="ru-RU"/>
        </w:rPr>
        <w:t>.</w:t>
      </w:r>
    </w:p>
    <w:p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4A6336" w:rsidRPr="006969FF" w:rsidRDefault="006969FF" w:rsidP="006969FF">
      <w:pPr>
        <w:pStyle w:val="a0"/>
        <w:spacing w:after="120" w:line="240" w:lineRule="auto"/>
        <w:jc w:val="both"/>
        <w:rPr>
          <w:sz w:val="26"/>
          <w:szCs w:val="26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Всі</w:t>
      </w:r>
      <w:r w:rsidRPr="006969FF">
        <w:rPr>
          <w:sz w:val="26"/>
          <w:szCs w:val="26"/>
        </w:rPr>
        <w:t xml:space="preserve"> вимоги </w:t>
      </w:r>
      <w:r w:rsidR="004A6336" w:rsidRPr="006969FF">
        <w:rPr>
          <w:sz w:val="26"/>
          <w:szCs w:val="26"/>
        </w:rPr>
        <w:t xml:space="preserve">не </w:t>
      </w:r>
      <w:r w:rsidR="00880FD0" w:rsidRPr="006969FF">
        <w:rPr>
          <w:sz w:val="26"/>
          <w:szCs w:val="26"/>
        </w:rPr>
        <w:t>суперечать</w:t>
      </w:r>
      <w:r w:rsidR="004A6336" w:rsidRPr="006969FF">
        <w:rPr>
          <w:sz w:val="26"/>
          <w:szCs w:val="26"/>
        </w:rPr>
        <w:t xml:space="preserve"> законодавству України 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896EFC">
        <w:rPr>
          <w:sz w:val="26"/>
          <w:szCs w:val="26"/>
          <w:lang w:val="ru-RU"/>
        </w:rPr>
        <w:t xml:space="preserve"> </w:t>
      </w:r>
      <w:r w:rsidRPr="006969FF">
        <w:rPr>
          <w:sz w:val="26"/>
          <w:szCs w:val="26"/>
          <w:lang w:val="ru-RU"/>
        </w:rPr>
        <w:t>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дпов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дают</w:t>
      </w:r>
      <w:r w:rsidRPr="006969FF">
        <w:rPr>
          <w:rFonts w:eastAsia="Times New Roman"/>
          <w:bCs/>
          <w:sz w:val="26"/>
          <w:szCs w:val="26"/>
          <w:lang w:eastAsia="ru-RU"/>
        </w:rPr>
        <w:t>ь</w:t>
      </w:r>
      <w:r w:rsidR="004A6336" w:rsidRPr="006969FF">
        <w:rPr>
          <w:sz w:val="26"/>
          <w:szCs w:val="26"/>
        </w:rPr>
        <w:t xml:space="preserve"> нормативним документам Університету</w:t>
      </w:r>
      <w:r w:rsidR="00F51B26" w:rsidRPr="006969FF">
        <w:rPr>
          <w:sz w:val="26"/>
          <w:szCs w:val="26"/>
        </w:rPr>
        <w:t>.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:rsidR="006969FF" w:rsidRDefault="006969FF" w:rsidP="006969FF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="009B4FB4" w:rsidRPr="006969FF">
        <w:rPr>
          <w:rFonts w:eastAsia="Times New Roman"/>
          <w:sz w:val="26"/>
          <w:szCs w:val="26"/>
          <w:lang w:eastAsia="ru-RU"/>
        </w:rPr>
        <w:t>«</w:t>
      </w:r>
      <w:r w:rsidR="009B4FB4" w:rsidRPr="009B4FB4">
        <w:rPr>
          <w:sz w:val="26"/>
          <w:szCs w:val="26"/>
        </w:rPr>
        <w:t>Основи сучасної хімії азотовмісних циклічних органічних сполук</w:t>
      </w:r>
      <w:r w:rsidR="009B4FB4" w:rsidRPr="006969FF">
        <w:rPr>
          <w:rFonts w:eastAsia="Times New Roman"/>
          <w:sz w:val="26"/>
          <w:szCs w:val="26"/>
          <w:lang w:eastAsia="ru-RU"/>
        </w:rPr>
        <w:t>»</w:t>
      </w:r>
      <w:r w:rsidR="009B4FB4">
        <w:rPr>
          <w:rFonts w:eastAsia="Times New Roman"/>
          <w:sz w:val="26"/>
          <w:szCs w:val="26"/>
          <w:lang w:eastAsia="ru-RU"/>
        </w:rPr>
        <w:t xml:space="preserve"> 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рекомендується після вивчення кожного розділу проводити письмове опитування. Всього за семестр необхідно провести три письмові опитування. В кінці вивчення курсу рекомендується провести </w:t>
      </w:r>
      <w:r w:rsidR="00204467">
        <w:rPr>
          <w:rFonts w:eastAsia="Times New Roman"/>
          <w:bCs/>
          <w:sz w:val="26"/>
          <w:szCs w:val="26"/>
          <w:lang w:eastAsia="ru-RU"/>
        </w:rPr>
        <w:t>письмовий екзамен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. Письмові завдання, контрольні роботи та </w:t>
      </w:r>
      <w:r w:rsidR="00204467">
        <w:rPr>
          <w:rFonts w:eastAsia="Times New Roman"/>
          <w:bCs/>
          <w:sz w:val="26"/>
          <w:szCs w:val="26"/>
          <w:lang w:eastAsia="ru-RU"/>
        </w:rPr>
        <w:t>екзаменаційн</w:t>
      </w:r>
      <w:r w:rsidR="00F301A5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 білети повинні містити практичні завдання у вигляді задач.</w:t>
      </w:r>
    </w:p>
    <w:p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>Поточний контроль: експрес-опитування, опитування за темою заняття, тест тощо</w:t>
      </w:r>
    </w:p>
    <w:p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>Календарний контроль: провадиться двічі на семестр як моніторинг поточного стану виконання вимог силабусу.</w:t>
      </w:r>
    </w:p>
    <w:p w:rsidR="00881A39" w:rsidRPr="00881A39" w:rsidRDefault="00881A39" w:rsidP="00881A3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Семестровий контроль: екзамен </w:t>
      </w:r>
    </w:p>
    <w:p w:rsidR="00881A39" w:rsidRPr="00881A39" w:rsidRDefault="00881A39" w:rsidP="00881A39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881A39">
        <w:rPr>
          <w:sz w:val="26"/>
          <w:szCs w:val="26"/>
        </w:rPr>
        <w:t xml:space="preserve">Умови допуску до семестрового контролю: мінімально позитивна оцінка за індивідуальне завдання / зарахування усіх лабораторних робіт / семестровий рейтинг більше </w:t>
      </w:r>
      <w:r w:rsidRPr="00896EFC">
        <w:rPr>
          <w:sz w:val="26"/>
          <w:szCs w:val="26"/>
          <w:lang w:val="ru-RU"/>
        </w:rPr>
        <w:t xml:space="preserve">75 </w:t>
      </w:r>
      <w:r w:rsidRPr="00881A39">
        <w:rPr>
          <w:sz w:val="26"/>
          <w:szCs w:val="26"/>
        </w:rPr>
        <w:t>балів</w:t>
      </w:r>
    </w:p>
    <w:p w:rsidR="004A6336" w:rsidRPr="006969FF" w:rsidRDefault="005413FF" w:rsidP="005251A5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6969FF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="004A6336" w:rsidRPr="006969FF">
        <w:rPr>
          <w:sz w:val="26"/>
          <w:szCs w:val="26"/>
        </w:rPr>
        <w:t>:</w:t>
      </w:r>
      <w:r w:rsidR="003F0A41" w:rsidRPr="006969FF">
        <w:rPr>
          <w:sz w:val="26"/>
          <w:szCs w:val="26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i/>
                <w:sz w:val="26"/>
                <w:szCs w:val="26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Оцінка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Відмінно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Дуже добре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Добре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74-65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Задовільно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Достатньо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Незадовільно</w:t>
            </w:r>
          </w:p>
        </w:tc>
      </w:tr>
      <w:tr w:rsidR="006969FF" w:rsidRPr="006969FF" w:rsidTr="00A51F30">
        <w:tc>
          <w:tcPr>
            <w:tcW w:w="3119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допущено</w:t>
            </w:r>
          </w:p>
        </w:tc>
      </w:tr>
    </w:tbl>
    <w:p w:rsidR="004A6336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8D4C63" w:rsidRPr="007D2A9D" w:rsidRDefault="008D4C63" w:rsidP="008D4C63">
      <w:pPr>
        <w:spacing w:after="120" w:line="240" w:lineRule="auto"/>
        <w:ind w:firstLine="360"/>
        <w:jc w:val="both"/>
        <w:rPr>
          <w:i/>
        </w:rPr>
      </w:pPr>
      <w:r w:rsidRPr="007D2A9D">
        <w:rPr>
          <w:i/>
        </w:rPr>
        <w:t xml:space="preserve">Перелік питань до МКР та екзамену наведені у </w:t>
      </w:r>
      <w:r w:rsidRPr="007D2A9D">
        <w:rPr>
          <w:i/>
          <w:shd w:val="clear" w:color="auto" w:fill="FFFFFF" w:themeFill="background1"/>
        </w:rPr>
        <w:t>Електронному кампусі.</w:t>
      </w:r>
      <w:r w:rsidRPr="007D2A9D">
        <w:rPr>
          <w:i/>
        </w:rPr>
        <w:t xml:space="preserve"> </w:t>
      </w:r>
    </w:p>
    <w:p w:rsidR="008D4C63" w:rsidRPr="007D2A9D" w:rsidRDefault="008D4C63" w:rsidP="008D4C63">
      <w:pPr>
        <w:spacing w:after="120" w:line="240" w:lineRule="auto"/>
        <w:ind w:firstLine="360"/>
        <w:jc w:val="both"/>
        <w:rPr>
          <w:i/>
        </w:rPr>
      </w:pPr>
      <w:r w:rsidRPr="007D2A9D">
        <w:rPr>
          <w:i/>
        </w:rPr>
        <w:t>У випадку проходження дистанційних чи онлайн курсів за темою освітньої компоненти зараховуються сертифікати, отримані у неформальній освіті. Відповідність сертифікату програмі ОК визначає лектор. Загальна кількість перезарахованих годин не має перевищувати 25%.</w:t>
      </w:r>
    </w:p>
    <w:p w:rsidR="008D4C63" w:rsidRPr="008D4C63" w:rsidRDefault="008D4C63" w:rsidP="008D4C63"/>
    <w:p w:rsidR="00B47838" w:rsidRPr="006969FF" w:rsidRDefault="00B47838" w:rsidP="00B47838">
      <w:pPr>
        <w:spacing w:after="120" w:line="240" w:lineRule="auto"/>
        <w:jc w:val="both"/>
        <w:rPr>
          <w:b/>
          <w:bCs/>
          <w:sz w:val="26"/>
          <w:szCs w:val="26"/>
        </w:rPr>
      </w:pPr>
    </w:p>
    <w:p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(силабус)</w:t>
      </w:r>
      <w:r w:rsidR="005F4692" w:rsidRPr="006969FF">
        <w:rPr>
          <w:b/>
          <w:bCs/>
          <w:sz w:val="26"/>
          <w:szCs w:val="26"/>
        </w:rPr>
        <w:t>:</w:t>
      </w:r>
    </w:p>
    <w:p w:rsidR="00F96F2C" w:rsidRDefault="001D56C1" w:rsidP="00F96F2C">
      <w:pPr>
        <w:spacing w:line="240" w:lineRule="auto"/>
        <w:rPr>
          <w:rFonts w:eastAsia="Times New Roman"/>
          <w:szCs w:val="26"/>
          <w:lang w:eastAsia="ru-RU"/>
        </w:rPr>
      </w:pPr>
      <w:r w:rsidRPr="006969FF">
        <w:rPr>
          <w:b/>
          <w:bCs/>
          <w:sz w:val="26"/>
          <w:szCs w:val="26"/>
        </w:rPr>
        <w:t>С</w:t>
      </w:r>
      <w:r w:rsidR="00B47838" w:rsidRPr="006969FF">
        <w:rPr>
          <w:b/>
          <w:bCs/>
          <w:sz w:val="26"/>
          <w:szCs w:val="26"/>
        </w:rPr>
        <w:t>кладено</w:t>
      </w:r>
      <w:r w:rsidR="00B47838" w:rsidRPr="006969FF">
        <w:rPr>
          <w:sz w:val="26"/>
          <w:szCs w:val="26"/>
        </w:rPr>
        <w:t xml:space="preserve"> </w:t>
      </w:r>
      <w:r w:rsidR="00233A69">
        <w:rPr>
          <w:rFonts w:eastAsia="Times New Roman"/>
          <w:szCs w:val="26"/>
          <w:lang w:val="ru-RU" w:eastAsia="ru-RU"/>
        </w:rPr>
        <w:t>доц</w:t>
      </w:r>
      <w:r w:rsidR="00F96F2C" w:rsidRPr="00427D19">
        <w:rPr>
          <w:rFonts w:eastAsia="Times New Roman"/>
          <w:szCs w:val="26"/>
          <w:lang w:eastAsia="ru-RU"/>
        </w:rPr>
        <w:t xml:space="preserve">. каф. ОХ та ТОР, доктор хімічних наук, </w:t>
      </w:r>
      <w:r w:rsidR="00532A40">
        <w:rPr>
          <w:rFonts w:eastAsia="Times New Roman"/>
          <w:szCs w:val="26"/>
          <w:lang w:eastAsia="ru-RU"/>
        </w:rPr>
        <w:t xml:space="preserve">с.н.с. Рассуканою Юлією </w:t>
      </w:r>
      <w:r w:rsidR="00F96F2C" w:rsidRPr="00427D19">
        <w:rPr>
          <w:rFonts w:eastAsia="Times New Roman"/>
          <w:szCs w:val="26"/>
          <w:lang w:eastAsia="ru-RU"/>
        </w:rPr>
        <w:t xml:space="preserve"> </w:t>
      </w:r>
    </w:p>
    <w:p w:rsidR="00F96F2C" w:rsidRPr="00427D19" w:rsidRDefault="00F96F2C" w:rsidP="00F96F2C">
      <w:pPr>
        <w:spacing w:line="240" w:lineRule="auto"/>
        <w:rPr>
          <w:rFonts w:eastAsia="Times New Roman"/>
          <w:szCs w:val="26"/>
          <w:lang w:eastAsia="ru-RU"/>
        </w:rPr>
      </w:pPr>
    </w:p>
    <w:p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  <w:r w:rsidRPr="007D68BE">
        <w:rPr>
          <w:b/>
          <w:bCs/>
          <w:sz w:val="26"/>
          <w:szCs w:val="26"/>
        </w:rPr>
        <w:t>Ухвалено</w:t>
      </w:r>
      <w:r w:rsidRPr="007D68BE">
        <w:rPr>
          <w:sz w:val="26"/>
          <w:szCs w:val="26"/>
        </w:rPr>
        <w:t xml:space="preserve"> кафедрою </w:t>
      </w:r>
      <w:r w:rsidRPr="007D68BE">
        <w:rPr>
          <w:rFonts w:eastAsia="Times New Roman"/>
          <w:sz w:val="26"/>
          <w:szCs w:val="26"/>
          <w:lang w:eastAsia="ru-RU"/>
        </w:rPr>
        <w:t xml:space="preserve">ОХ та </w:t>
      </w:r>
      <w:r w:rsidRPr="00532A40">
        <w:rPr>
          <w:rFonts w:eastAsia="Times New Roman"/>
          <w:lang w:eastAsia="ru-RU"/>
        </w:rPr>
        <w:t>ТОР</w:t>
      </w:r>
      <w:r w:rsidRPr="00532A40">
        <w:rPr>
          <w:rFonts w:eastAsia="Times New Roman"/>
          <w:lang w:val="ru-RU" w:eastAsia="ru-RU"/>
        </w:rPr>
        <w:t xml:space="preserve"> </w:t>
      </w:r>
      <w:r w:rsidRPr="00532A40">
        <w:t xml:space="preserve"> </w:t>
      </w:r>
      <w:r w:rsidR="00532A40" w:rsidRPr="00532A40">
        <w:rPr>
          <w:color w:val="000000"/>
          <w:shd w:val="clear" w:color="auto" w:fill="FFFFFF"/>
        </w:rPr>
        <w:t>(протокол № 14 від 26.06.2021)</w:t>
      </w:r>
    </w:p>
    <w:p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</w:p>
    <w:p w:rsidR="007802D1" w:rsidRPr="007D68BE" w:rsidRDefault="007802D1" w:rsidP="007802D1">
      <w:pPr>
        <w:spacing w:after="120" w:line="240" w:lineRule="auto"/>
        <w:jc w:val="both"/>
        <w:rPr>
          <w:bCs/>
          <w:sz w:val="26"/>
          <w:szCs w:val="26"/>
        </w:rPr>
      </w:pPr>
      <w:r w:rsidRPr="007D68BE">
        <w:rPr>
          <w:b/>
          <w:bCs/>
          <w:sz w:val="26"/>
          <w:szCs w:val="26"/>
        </w:rPr>
        <w:t xml:space="preserve">Погоджено </w:t>
      </w:r>
      <w:r w:rsidRPr="007D68BE">
        <w:rPr>
          <w:sz w:val="26"/>
          <w:szCs w:val="26"/>
        </w:rPr>
        <w:t xml:space="preserve">Методичною комісією факультету </w:t>
      </w:r>
      <w:r w:rsidR="00532A40" w:rsidRPr="00532A40">
        <w:rPr>
          <w:sz w:val="26"/>
          <w:szCs w:val="26"/>
        </w:rPr>
        <w:t>(протокол № 10 від 23.06.2021)</w:t>
      </w:r>
      <w:bookmarkStart w:id="0" w:name="_GoBack"/>
      <w:bookmarkEnd w:id="0"/>
    </w:p>
    <w:p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FB" w:rsidRDefault="00A523FB" w:rsidP="004E0EDF">
      <w:pPr>
        <w:spacing w:line="240" w:lineRule="auto"/>
      </w:pPr>
      <w:r>
        <w:separator/>
      </w:r>
    </w:p>
  </w:endnote>
  <w:endnote w:type="continuationSeparator" w:id="0">
    <w:p w:rsidR="00A523FB" w:rsidRDefault="00A523FB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PLMC L+ Adv P 35 A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umpMediaeval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FB" w:rsidRDefault="00A523FB" w:rsidP="004E0EDF">
      <w:pPr>
        <w:spacing w:line="240" w:lineRule="auto"/>
      </w:pPr>
      <w:r>
        <w:separator/>
      </w:r>
    </w:p>
  </w:footnote>
  <w:footnote w:type="continuationSeparator" w:id="0">
    <w:p w:rsidR="00A523FB" w:rsidRDefault="00A523FB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82ECC"/>
    <w:multiLevelType w:val="hybridMultilevel"/>
    <w:tmpl w:val="F20AF7F0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410AC"/>
    <w:multiLevelType w:val="hybridMultilevel"/>
    <w:tmpl w:val="7366A804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</w:num>
  <w:num w:numId="11">
    <w:abstractNumId w:val="9"/>
  </w:num>
  <w:num w:numId="12">
    <w:abstractNumId w:val="2"/>
  </w:num>
  <w:num w:numId="13">
    <w:abstractNumId w:val="1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36"/>
    <w:rsid w:val="000050AD"/>
    <w:rsid w:val="00032C7A"/>
    <w:rsid w:val="00062CD6"/>
    <w:rsid w:val="000710BB"/>
    <w:rsid w:val="00087AFC"/>
    <w:rsid w:val="000C40A0"/>
    <w:rsid w:val="000D1F73"/>
    <w:rsid w:val="000E32A8"/>
    <w:rsid w:val="000F01A9"/>
    <w:rsid w:val="0011141C"/>
    <w:rsid w:val="00113864"/>
    <w:rsid w:val="001435BE"/>
    <w:rsid w:val="001943AA"/>
    <w:rsid w:val="001D1762"/>
    <w:rsid w:val="001D56C1"/>
    <w:rsid w:val="00204467"/>
    <w:rsid w:val="002050F4"/>
    <w:rsid w:val="002331D3"/>
    <w:rsid w:val="00233A69"/>
    <w:rsid w:val="0023533A"/>
    <w:rsid w:val="0024475C"/>
    <w:rsid w:val="0024717A"/>
    <w:rsid w:val="00253BCC"/>
    <w:rsid w:val="00261FF8"/>
    <w:rsid w:val="00270675"/>
    <w:rsid w:val="00297D87"/>
    <w:rsid w:val="002C2D02"/>
    <w:rsid w:val="002D19BE"/>
    <w:rsid w:val="00306C33"/>
    <w:rsid w:val="003341F5"/>
    <w:rsid w:val="003518FB"/>
    <w:rsid w:val="00392C17"/>
    <w:rsid w:val="003A7D5A"/>
    <w:rsid w:val="003C1370"/>
    <w:rsid w:val="003C70D8"/>
    <w:rsid w:val="003D35CF"/>
    <w:rsid w:val="003D39F2"/>
    <w:rsid w:val="003D573E"/>
    <w:rsid w:val="003F0A41"/>
    <w:rsid w:val="00413215"/>
    <w:rsid w:val="004442EE"/>
    <w:rsid w:val="0046632F"/>
    <w:rsid w:val="00494B8C"/>
    <w:rsid w:val="004A5A73"/>
    <w:rsid w:val="004A6336"/>
    <w:rsid w:val="004B13AA"/>
    <w:rsid w:val="004D1575"/>
    <w:rsid w:val="004D340F"/>
    <w:rsid w:val="004E0EDF"/>
    <w:rsid w:val="004F6918"/>
    <w:rsid w:val="00512188"/>
    <w:rsid w:val="005251A5"/>
    <w:rsid w:val="00530BFF"/>
    <w:rsid w:val="00532A40"/>
    <w:rsid w:val="005413FF"/>
    <w:rsid w:val="00556E26"/>
    <w:rsid w:val="005D764D"/>
    <w:rsid w:val="005F4692"/>
    <w:rsid w:val="005F4807"/>
    <w:rsid w:val="006757B0"/>
    <w:rsid w:val="006969FF"/>
    <w:rsid w:val="006A2E1D"/>
    <w:rsid w:val="006E65B0"/>
    <w:rsid w:val="006F5C29"/>
    <w:rsid w:val="00714AB2"/>
    <w:rsid w:val="007244E1"/>
    <w:rsid w:val="00773010"/>
    <w:rsid w:val="0077700A"/>
    <w:rsid w:val="007802D1"/>
    <w:rsid w:val="00791855"/>
    <w:rsid w:val="007E3190"/>
    <w:rsid w:val="007E7F74"/>
    <w:rsid w:val="007F7C45"/>
    <w:rsid w:val="00825D6E"/>
    <w:rsid w:val="00832CCE"/>
    <w:rsid w:val="00836DD4"/>
    <w:rsid w:val="00852EEF"/>
    <w:rsid w:val="00880FD0"/>
    <w:rsid w:val="00881A39"/>
    <w:rsid w:val="00894491"/>
    <w:rsid w:val="00896EFC"/>
    <w:rsid w:val="008A03A1"/>
    <w:rsid w:val="008A4024"/>
    <w:rsid w:val="008B16FE"/>
    <w:rsid w:val="008D1B2D"/>
    <w:rsid w:val="008D4C63"/>
    <w:rsid w:val="00941384"/>
    <w:rsid w:val="00962C2E"/>
    <w:rsid w:val="009B2DDB"/>
    <w:rsid w:val="009B4FB4"/>
    <w:rsid w:val="009F69B9"/>
    <w:rsid w:val="009F751E"/>
    <w:rsid w:val="00A03F01"/>
    <w:rsid w:val="00A2464E"/>
    <w:rsid w:val="00A2798C"/>
    <w:rsid w:val="00A523FB"/>
    <w:rsid w:val="00A77197"/>
    <w:rsid w:val="00A90398"/>
    <w:rsid w:val="00AA6B23"/>
    <w:rsid w:val="00AB05C9"/>
    <w:rsid w:val="00AD5593"/>
    <w:rsid w:val="00AE41A6"/>
    <w:rsid w:val="00AF7CF0"/>
    <w:rsid w:val="00B20824"/>
    <w:rsid w:val="00B40317"/>
    <w:rsid w:val="00B47838"/>
    <w:rsid w:val="00BA429D"/>
    <w:rsid w:val="00BA590A"/>
    <w:rsid w:val="00BD1F24"/>
    <w:rsid w:val="00C163AF"/>
    <w:rsid w:val="00C301EF"/>
    <w:rsid w:val="00C32BA6"/>
    <w:rsid w:val="00C32C81"/>
    <w:rsid w:val="00C33037"/>
    <w:rsid w:val="00C42A21"/>
    <w:rsid w:val="00C55C12"/>
    <w:rsid w:val="00C613F3"/>
    <w:rsid w:val="00C809F3"/>
    <w:rsid w:val="00D05879"/>
    <w:rsid w:val="00D13EFF"/>
    <w:rsid w:val="00D2172D"/>
    <w:rsid w:val="00D525C0"/>
    <w:rsid w:val="00D65819"/>
    <w:rsid w:val="00D82DA7"/>
    <w:rsid w:val="00D83999"/>
    <w:rsid w:val="00D92509"/>
    <w:rsid w:val="00DD5F87"/>
    <w:rsid w:val="00E0088D"/>
    <w:rsid w:val="00E06AC5"/>
    <w:rsid w:val="00E1074C"/>
    <w:rsid w:val="00E17713"/>
    <w:rsid w:val="00E80BB6"/>
    <w:rsid w:val="00EA0EB9"/>
    <w:rsid w:val="00EA4C70"/>
    <w:rsid w:val="00EB4F56"/>
    <w:rsid w:val="00ED4C20"/>
    <w:rsid w:val="00F0060A"/>
    <w:rsid w:val="00F162DC"/>
    <w:rsid w:val="00F25DB2"/>
    <w:rsid w:val="00F273D8"/>
    <w:rsid w:val="00F301A5"/>
    <w:rsid w:val="00F51B26"/>
    <w:rsid w:val="00F677B9"/>
    <w:rsid w:val="00F67DDC"/>
    <w:rsid w:val="00F77E2B"/>
    <w:rsid w:val="00F95D78"/>
    <w:rsid w:val="00F96F2C"/>
    <w:rsid w:val="00F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 Indent"/>
    <w:basedOn w:val="a"/>
    <w:link w:val="af2"/>
    <w:rsid w:val="002D19BE"/>
    <w:pPr>
      <w:autoSpaceDE w:val="0"/>
      <w:autoSpaceDN w:val="0"/>
      <w:adjustRightInd w:val="0"/>
      <w:spacing w:line="240" w:lineRule="auto"/>
      <w:ind w:left="4111"/>
    </w:pPr>
    <w:rPr>
      <w:rFonts w:eastAsia="Times New Roman"/>
      <w:sz w:val="22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2D19BE"/>
    <w:rPr>
      <w:sz w:val="22"/>
      <w:szCs w:val="24"/>
      <w:lang w:val="uk-UA"/>
    </w:rPr>
  </w:style>
  <w:style w:type="paragraph" w:customStyle="1" w:styleId="13">
    <w:name w:val="Обычный1"/>
    <w:rsid w:val="001D1762"/>
    <w:pPr>
      <w:widowControl w:val="0"/>
      <w:jc w:val="both"/>
    </w:pPr>
    <w:rPr>
      <w:snapToGrid w:val="0"/>
      <w:sz w:val="24"/>
      <w:lang w:val="uk-UA"/>
    </w:rPr>
  </w:style>
  <w:style w:type="paragraph" w:customStyle="1" w:styleId="Default">
    <w:name w:val="Default"/>
    <w:rsid w:val="00392C17"/>
    <w:pPr>
      <w:autoSpaceDE w:val="0"/>
      <w:autoSpaceDN w:val="0"/>
      <w:adjustRightInd w:val="0"/>
    </w:pPr>
    <w:rPr>
      <w:rFonts w:ascii="HPLMC L+ Adv P 35 AF" w:hAnsi="HPLMC L+ Adv P 35 AF" w:cs="HPLMC L+ Adv P 35 AF"/>
      <w:color w:val="000000"/>
      <w:sz w:val="24"/>
      <w:szCs w:val="24"/>
      <w:lang w:val="uk-UA" w:eastAsia="uk-UA"/>
    </w:rPr>
  </w:style>
  <w:style w:type="paragraph" w:customStyle="1" w:styleId="Style3">
    <w:name w:val="Style3"/>
    <w:basedOn w:val="a"/>
    <w:rsid w:val="00392C17"/>
    <w:pPr>
      <w:widowControl w:val="0"/>
      <w:autoSpaceDE w:val="0"/>
      <w:autoSpaceDN w:val="0"/>
      <w:adjustRightInd w:val="0"/>
      <w:spacing w:line="187" w:lineRule="exact"/>
      <w:ind w:hanging="686"/>
    </w:pPr>
    <w:rPr>
      <w:rFonts w:eastAsia="Times New Roman"/>
      <w:sz w:val="24"/>
      <w:szCs w:val="24"/>
      <w:lang w:eastAsia="uk-UA"/>
    </w:rPr>
  </w:style>
  <w:style w:type="character" w:customStyle="1" w:styleId="FontStyle37">
    <w:name w:val="Font Style37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392C17"/>
    <w:pPr>
      <w:widowControl w:val="0"/>
      <w:autoSpaceDE w:val="0"/>
      <w:autoSpaceDN w:val="0"/>
      <w:adjustRightInd w:val="0"/>
      <w:spacing w:line="163" w:lineRule="exact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4">
    <w:name w:val="Font Style24"/>
    <w:rsid w:val="00392C17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392C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392C1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"/>
    <w:rsid w:val="00392C17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uk-UA"/>
    </w:rPr>
  </w:style>
  <w:style w:type="character" w:customStyle="1" w:styleId="FontStyle19">
    <w:name w:val="Font Style19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392C17"/>
    <w:pPr>
      <w:widowControl w:val="0"/>
      <w:autoSpaceDE w:val="0"/>
      <w:autoSpaceDN w:val="0"/>
      <w:adjustRightInd w:val="0"/>
      <w:spacing w:line="197" w:lineRule="exact"/>
      <w:ind w:firstLine="264"/>
      <w:jc w:val="both"/>
    </w:pPr>
    <w:rPr>
      <w:rFonts w:eastAsia="Times New Roman"/>
      <w:sz w:val="24"/>
      <w:szCs w:val="24"/>
      <w:lang w:eastAsia="uk-UA"/>
    </w:rPr>
  </w:style>
  <w:style w:type="character" w:customStyle="1" w:styleId="FontStyle20">
    <w:name w:val="Font Style20"/>
    <w:rsid w:val="00392C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392C17"/>
    <w:pPr>
      <w:widowControl w:val="0"/>
      <w:autoSpaceDE w:val="0"/>
      <w:autoSpaceDN w:val="0"/>
      <w:adjustRightInd w:val="0"/>
      <w:spacing w:line="192" w:lineRule="exact"/>
    </w:pPr>
    <w:rPr>
      <w:rFonts w:eastAsia="Times New Roman"/>
      <w:sz w:val="24"/>
      <w:szCs w:val="24"/>
      <w:lang w:eastAsia="uk-UA"/>
    </w:rPr>
  </w:style>
  <w:style w:type="character" w:customStyle="1" w:styleId="xfm22358885">
    <w:name w:val="xfm_22358885"/>
    <w:basedOn w:val="a1"/>
    <w:rsid w:val="002331D3"/>
  </w:style>
  <w:style w:type="character" w:customStyle="1" w:styleId="xfm97063878">
    <w:name w:val="xfm_97063878"/>
    <w:basedOn w:val="a1"/>
    <w:rsid w:val="000E3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5F9971-47C2-4F26-9FBB-0E33A736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3</cp:revision>
  <cp:lastPrinted>2020-09-07T13:50:00Z</cp:lastPrinted>
  <dcterms:created xsi:type="dcterms:W3CDTF">2022-01-31T10:36:00Z</dcterms:created>
  <dcterms:modified xsi:type="dcterms:W3CDTF">2022-01-31T10:40:00Z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